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74102E" w14:textId="77777777" w:rsidR="00EC0FA2" w:rsidRDefault="00EC0FA2">
      <w:pPr>
        <w:rPr>
          <w:rFonts w:asciiTheme="majorHAnsi" w:eastAsiaTheme="majorEastAsia" w:hAnsiTheme="majorHAnsi" w:cstheme="majorBidi"/>
          <w:color w:val="2F5496" w:themeColor="accent1" w:themeShade="BF"/>
          <w:sz w:val="26"/>
          <w:szCs w:val="26"/>
        </w:rPr>
      </w:pPr>
      <w:bookmarkStart w:id="0" w:name="_GoBack"/>
      <w:bookmarkEnd w:id="0"/>
    </w:p>
    <w:p w14:paraId="029D997E" w14:textId="77777777" w:rsidR="003522A0" w:rsidRDefault="003522A0" w:rsidP="002A5A2D">
      <w:pPr>
        <w:pStyle w:val="Nagwek2"/>
        <w:numPr>
          <w:ilvl w:val="0"/>
          <w:numId w:val="0"/>
        </w:numPr>
        <w:jc w:val="both"/>
      </w:pPr>
      <w:bookmarkStart w:id="1" w:name="_Toc525115750"/>
      <w:r w:rsidRPr="00431527">
        <w:t>Introduction</w:t>
      </w:r>
      <w:bookmarkEnd w:id="1"/>
    </w:p>
    <w:p w14:paraId="36229856" w14:textId="77777777" w:rsidR="000A4B17" w:rsidRDefault="000A4B17" w:rsidP="002A5A2D">
      <w:pPr>
        <w:jc w:val="both"/>
      </w:pPr>
    </w:p>
    <w:p w14:paraId="73163603" w14:textId="288842D8" w:rsidR="00592B35" w:rsidRDefault="00592B35" w:rsidP="002A5A2D">
      <w:pPr>
        <w:jc w:val="both"/>
      </w:pPr>
      <w:r>
        <w:t>The purpose of this paper is to update the Member States expert group</w:t>
      </w:r>
      <w:r w:rsidR="00AE235D">
        <w:t xml:space="preserve"> (MSEG)</w:t>
      </w:r>
      <w:r>
        <w:t xml:space="preserve"> on sustainable finance on the progress achieved </w:t>
      </w:r>
      <w:r w:rsidR="000A4B17">
        <w:t>on</w:t>
      </w:r>
      <w:r w:rsidR="00C9723A">
        <w:t xml:space="preserve"> the development of the taxonomy</w:t>
      </w:r>
      <w:r w:rsidR="00524B01">
        <w:t xml:space="preserve"> </w:t>
      </w:r>
      <w:r>
        <w:t>in the context of the work carried out by the Technical expert group</w:t>
      </w:r>
      <w:r w:rsidR="00AE235D">
        <w:t xml:space="preserve"> (TEG)</w:t>
      </w:r>
      <w:r>
        <w:t xml:space="preserve"> on sustainable finance.</w:t>
      </w:r>
    </w:p>
    <w:p w14:paraId="4FD409C5" w14:textId="7E95611F" w:rsidR="00964B74" w:rsidRDefault="00592B35" w:rsidP="000A4B17">
      <w:pPr>
        <w:jc w:val="both"/>
      </w:pPr>
      <w:r>
        <w:t>As per the State of Play</w:t>
      </w:r>
      <w:r>
        <w:rPr>
          <w:rStyle w:val="Odwoanieprzypisudolnego"/>
        </w:rPr>
        <w:footnoteReference w:id="2"/>
      </w:r>
      <w:r>
        <w:t xml:space="preserve"> published in July 2018, and in line</w:t>
      </w:r>
      <w:r w:rsidR="00A95A70">
        <w:t xml:space="preserve"> with</w:t>
      </w:r>
      <w:r>
        <w:t xml:space="preserve"> its mandate</w:t>
      </w:r>
      <w:r>
        <w:rPr>
          <w:rStyle w:val="Odwoanieprzypisudolnego"/>
        </w:rPr>
        <w:footnoteReference w:id="3"/>
      </w:r>
      <w:r w:rsidR="00233F6B">
        <w:t>,</w:t>
      </w:r>
      <w:r>
        <w:t xml:space="preserve"> the </w:t>
      </w:r>
      <w:r w:rsidR="00AE235D">
        <w:t>T</w:t>
      </w:r>
      <w:r w:rsidR="00C9723A">
        <w:t>EG</w:t>
      </w:r>
      <w:r>
        <w:t xml:space="preserve"> has worked </w:t>
      </w:r>
      <w:r w:rsidR="00A95A70">
        <w:t xml:space="preserve">during </w:t>
      </w:r>
      <w:r>
        <w:t>the summer on:</w:t>
      </w:r>
    </w:p>
    <w:p w14:paraId="02A348D2" w14:textId="123EC744" w:rsidR="00592B35" w:rsidRDefault="00A95A70" w:rsidP="002A5A2D">
      <w:pPr>
        <w:pStyle w:val="Akapitzlist"/>
        <w:numPr>
          <w:ilvl w:val="0"/>
          <w:numId w:val="10"/>
        </w:numPr>
        <w:jc w:val="both"/>
      </w:pPr>
      <w:r>
        <w:t xml:space="preserve">Developing </w:t>
      </w:r>
      <w:r w:rsidR="00592B35">
        <w:t xml:space="preserve">a </w:t>
      </w:r>
      <w:r w:rsidR="00E11F32">
        <w:t>classification</w:t>
      </w:r>
      <w:r w:rsidR="00592B35">
        <w:t xml:space="preserve"> framework to serve the main users of the taxonomy while facilitating tracking financial flows to sustainable investments. </w:t>
      </w:r>
    </w:p>
    <w:p w14:paraId="4D2D4707" w14:textId="0D6F3075" w:rsidR="00592B35" w:rsidRDefault="00592B35" w:rsidP="002A5A2D">
      <w:pPr>
        <w:pStyle w:val="Akapitzlist"/>
        <w:numPr>
          <w:ilvl w:val="0"/>
          <w:numId w:val="10"/>
        </w:numPr>
        <w:jc w:val="both"/>
      </w:pPr>
      <w:r>
        <w:t xml:space="preserve">Gathering and synthesising available information on </w:t>
      </w:r>
      <w:r w:rsidR="002128CD">
        <w:t xml:space="preserve">environmentally sustainable economic activities, starting with </w:t>
      </w:r>
      <w:r>
        <w:t xml:space="preserve">mitigation and adaptation-related economic activities </w:t>
      </w:r>
      <w:r w:rsidR="00E11F32">
        <w:t xml:space="preserve">and </w:t>
      </w:r>
      <w:r w:rsidR="00A95A70">
        <w:t xml:space="preserve">identifying </w:t>
      </w:r>
      <w:r w:rsidR="00E11F32">
        <w:t>a first</w:t>
      </w:r>
      <w:r w:rsidR="00A95A70">
        <w:t xml:space="preserve"> set of</w:t>
      </w:r>
      <w:r w:rsidR="00E11F32">
        <w:t xml:space="preserve"> priority sectors for climate mitigation.</w:t>
      </w:r>
    </w:p>
    <w:p w14:paraId="5D0AADDC" w14:textId="0B0E33EA" w:rsidR="00592B35" w:rsidRDefault="00592B35" w:rsidP="002A5A2D">
      <w:pPr>
        <w:pStyle w:val="Akapitzlist"/>
        <w:numPr>
          <w:ilvl w:val="0"/>
          <w:numId w:val="10"/>
        </w:numPr>
        <w:jc w:val="both"/>
      </w:pPr>
      <w:r>
        <w:t>Developing its thinking around</w:t>
      </w:r>
      <w:r w:rsidR="00964B74">
        <w:t xml:space="preserve"> technical screening criteria </w:t>
      </w:r>
      <w:r>
        <w:t xml:space="preserve">for ‘substantial contribution’ and ‘not significant harm’ </w:t>
      </w:r>
      <w:r w:rsidR="00E24E45">
        <w:t>principles</w:t>
      </w:r>
      <w:r>
        <w:t xml:space="preserve">. </w:t>
      </w:r>
    </w:p>
    <w:p w14:paraId="46ECAD5A" w14:textId="00C33FA6" w:rsidR="000A4B17" w:rsidRDefault="000A4B17" w:rsidP="002A5A2D">
      <w:pPr>
        <w:pStyle w:val="Akapitzlist"/>
        <w:numPr>
          <w:ilvl w:val="0"/>
          <w:numId w:val="10"/>
        </w:numPr>
        <w:jc w:val="both"/>
      </w:pPr>
      <w:r>
        <w:t>Devising a strategy on obtaining expert input and stakeholder feedback.</w:t>
      </w:r>
    </w:p>
    <w:p w14:paraId="4ED23441" w14:textId="3AEA50F4" w:rsidR="00592B35" w:rsidRPr="00592B35" w:rsidRDefault="00E24E45" w:rsidP="002A5A2D">
      <w:pPr>
        <w:pStyle w:val="Akapitzlist"/>
        <w:numPr>
          <w:ilvl w:val="0"/>
          <w:numId w:val="10"/>
        </w:numPr>
        <w:jc w:val="both"/>
      </w:pPr>
      <w:r>
        <w:t>Carrying out p</w:t>
      </w:r>
      <w:r w:rsidR="005F1D9A">
        <w:t xml:space="preserve">reparatory </w:t>
      </w:r>
      <w:r w:rsidR="00592B35">
        <w:t>work</w:t>
      </w:r>
      <w:r w:rsidR="005F1D9A">
        <w:t xml:space="preserve"> on the impact analysis report</w:t>
      </w:r>
    </w:p>
    <w:p w14:paraId="712B857D" w14:textId="77777777" w:rsidR="00592B35" w:rsidRDefault="003E4F70" w:rsidP="002A5A2D">
      <w:pPr>
        <w:pStyle w:val="Zwykytekst"/>
        <w:jc w:val="both"/>
      </w:pPr>
      <w:r>
        <w:t xml:space="preserve">For each of these themes, a summary of the deliberations, key decisions and next steps is provided in this paper. </w:t>
      </w:r>
    </w:p>
    <w:p w14:paraId="3CE8B0BC" w14:textId="77777777" w:rsidR="00E24E45" w:rsidRDefault="00E24E45" w:rsidP="002A5A2D">
      <w:pPr>
        <w:pStyle w:val="Zwykytekst"/>
        <w:jc w:val="both"/>
      </w:pPr>
    </w:p>
    <w:p w14:paraId="63848C4D" w14:textId="3FF4CD3D" w:rsidR="00327F52" w:rsidRDefault="00592B35" w:rsidP="002A5A2D">
      <w:pPr>
        <w:pStyle w:val="Zwykytekst"/>
        <w:jc w:val="both"/>
      </w:pPr>
      <w:r>
        <w:t xml:space="preserve">Finally the paper </w:t>
      </w:r>
      <w:r w:rsidR="00AE235D">
        <w:t>invites MSEG</w:t>
      </w:r>
      <w:r>
        <w:t xml:space="preserve"> to provide written comments</w:t>
      </w:r>
      <w:r w:rsidR="00524B01">
        <w:t xml:space="preserve"> in view of feeding</w:t>
      </w:r>
      <w:r w:rsidR="00AE235D">
        <w:t xml:space="preserve"> them to</w:t>
      </w:r>
      <w:r w:rsidR="00524B01">
        <w:t xml:space="preserve"> </w:t>
      </w:r>
      <w:r w:rsidR="00C9723A">
        <w:t>TEG</w:t>
      </w:r>
      <w:r w:rsidR="00AE235D">
        <w:t>.</w:t>
      </w:r>
    </w:p>
    <w:p w14:paraId="6F074009" w14:textId="77777777" w:rsidR="00381104" w:rsidRDefault="00381104" w:rsidP="002A5A2D">
      <w:pPr>
        <w:pStyle w:val="Zwykytekst"/>
        <w:jc w:val="both"/>
      </w:pPr>
    </w:p>
    <w:p w14:paraId="3733DF39" w14:textId="77777777" w:rsidR="00D03879" w:rsidRDefault="00D03879" w:rsidP="00D03879">
      <w:pPr>
        <w:pStyle w:val="Zwykytekst"/>
        <w:jc w:val="both"/>
      </w:pPr>
      <w:bookmarkStart w:id="2" w:name="_Ref524954975"/>
      <w:bookmarkStart w:id="3" w:name="_Ref524954989"/>
      <w:bookmarkStart w:id="4" w:name="_Ref524954995"/>
      <w:bookmarkStart w:id="5" w:name="_Toc525115754"/>
    </w:p>
    <w:p w14:paraId="04307FDA" w14:textId="3514C8C0" w:rsidR="00416F54" w:rsidRDefault="00F54275" w:rsidP="002A5A2D">
      <w:pPr>
        <w:pStyle w:val="Nagwek2"/>
        <w:jc w:val="both"/>
      </w:pPr>
      <w:r>
        <w:t>Defining a classification</w:t>
      </w:r>
      <w:r w:rsidR="00964B74">
        <w:t xml:space="preserve"> </w:t>
      </w:r>
      <w:r>
        <w:t>framework</w:t>
      </w:r>
      <w:r w:rsidR="00381104">
        <w:t xml:space="preserve"> </w:t>
      </w:r>
      <w:bookmarkEnd w:id="2"/>
      <w:bookmarkEnd w:id="3"/>
      <w:bookmarkEnd w:id="4"/>
      <w:bookmarkEnd w:id="5"/>
    </w:p>
    <w:p w14:paraId="4A86F2EF" w14:textId="77777777" w:rsidR="000A4B17" w:rsidRDefault="000A4B17" w:rsidP="002A5A2D">
      <w:pPr>
        <w:jc w:val="both"/>
      </w:pPr>
    </w:p>
    <w:p w14:paraId="53A574EF" w14:textId="07D1173D" w:rsidR="00642637" w:rsidRPr="0095647E" w:rsidRDefault="00AE235D" w:rsidP="002A5A2D">
      <w:pPr>
        <w:jc w:val="both"/>
      </w:pPr>
      <w:r>
        <w:t>As already presented in the last MSEG meeting, t</w:t>
      </w:r>
      <w:r w:rsidR="00642637">
        <w:t xml:space="preserve">he output from the </w:t>
      </w:r>
      <w:r w:rsidR="00C9723A">
        <w:t>TEG</w:t>
      </w:r>
      <w:r w:rsidR="00642637">
        <w:t xml:space="preserve"> will be a list of</w:t>
      </w:r>
      <w:r w:rsidR="00751B71">
        <w:t xml:space="preserve"> environmentally sustainable</w:t>
      </w:r>
      <w:r w:rsidR="00642637">
        <w:t xml:space="preserve"> economic activities </w:t>
      </w:r>
      <w:r>
        <w:t xml:space="preserve">and </w:t>
      </w:r>
      <w:r w:rsidR="00642637">
        <w:t>the</w:t>
      </w:r>
      <w:r>
        <w:t>ir</w:t>
      </w:r>
      <w:r w:rsidR="00642637">
        <w:t xml:space="preserve"> technic</w:t>
      </w:r>
      <w:r w:rsidR="008313E6">
        <w:t>a</w:t>
      </w:r>
      <w:r w:rsidR="00642637">
        <w:t xml:space="preserve">l screening criteria. </w:t>
      </w:r>
      <w:r>
        <w:t>This final list</w:t>
      </w:r>
      <w:r w:rsidR="00642637">
        <w:t xml:space="preserve"> will need to build </w:t>
      </w:r>
      <w:r w:rsidR="00F54275">
        <w:t xml:space="preserve">on </w:t>
      </w:r>
      <w:r w:rsidR="00642637">
        <w:t>robust</w:t>
      </w:r>
      <w:r w:rsidR="00751B71">
        <w:t xml:space="preserve"> existing</w:t>
      </w:r>
      <w:r w:rsidR="00642637">
        <w:t xml:space="preserve"> classifications and be based on a comprehensive o</w:t>
      </w:r>
      <w:r w:rsidR="00A51AF0">
        <w:t xml:space="preserve">verview of economic activities. A sector </w:t>
      </w:r>
      <w:r w:rsidR="00F54275">
        <w:t xml:space="preserve">classification </w:t>
      </w:r>
      <w:r w:rsidR="00A51AF0">
        <w:t xml:space="preserve">framework to underpin the Taxonomy is therefore required. </w:t>
      </w:r>
    </w:p>
    <w:p w14:paraId="0D83CB25" w14:textId="2E16443E" w:rsidR="00CA2833" w:rsidRDefault="00D664A2" w:rsidP="002A5A2D">
      <w:pPr>
        <w:jc w:val="both"/>
      </w:pPr>
      <w:bookmarkStart w:id="6" w:name="_Hlk524945918"/>
      <w:r>
        <w:lastRenderedPageBreak/>
        <w:t xml:space="preserve">The </w:t>
      </w:r>
      <w:r w:rsidR="00AE235D">
        <w:t>T</w:t>
      </w:r>
      <w:r w:rsidR="00C9723A">
        <w:t>EG</w:t>
      </w:r>
      <w:r>
        <w:t xml:space="preserve"> was tasked with proposing a sector framework which meets the needs of the</w:t>
      </w:r>
      <w:r w:rsidR="00964B74">
        <w:t xml:space="preserve"> potential</w:t>
      </w:r>
      <w:r>
        <w:t xml:space="preserve"> users (financial institutions</w:t>
      </w:r>
      <w:r w:rsidR="00B13030">
        <w:t xml:space="preserve"> both private and public</w:t>
      </w:r>
      <w:r w:rsidR="00F54275">
        <w:t xml:space="preserve">, and </w:t>
      </w:r>
      <w:r w:rsidR="00964B74">
        <w:t>"</w:t>
      </w:r>
      <w:r w:rsidR="00F54275">
        <w:t>real economy</w:t>
      </w:r>
      <w:r w:rsidR="00964B74">
        <w:t>"</w:t>
      </w:r>
      <w:r w:rsidR="00F54275">
        <w:t xml:space="preserve"> firms</w:t>
      </w:r>
      <w:r>
        <w:t xml:space="preserve">) while facilitating </w:t>
      </w:r>
      <w:r w:rsidR="009E029F">
        <w:t xml:space="preserve">future </w:t>
      </w:r>
      <w:r>
        <w:t xml:space="preserve">tracking of financial flows to eligible economic activities.  </w:t>
      </w:r>
    </w:p>
    <w:p w14:paraId="14150783" w14:textId="77777777" w:rsidR="00C341E5" w:rsidRPr="006E04F4" w:rsidRDefault="00C341E5" w:rsidP="002A5A2D">
      <w:pPr>
        <w:jc w:val="both"/>
      </w:pPr>
      <w:r>
        <w:t>The NACE</w:t>
      </w:r>
      <w:r w:rsidR="00622FC5">
        <w:rPr>
          <w:rStyle w:val="Odwoanieprzypisudolnego"/>
          <w:rFonts w:ascii="Calibri" w:hAnsi="Calibri" w:cs="Calibri"/>
        </w:rPr>
        <w:footnoteReference w:id="4"/>
      </w:r>
      <w:r>
        <w:t xml:space="preserve"> industrial classification system</w:t>
      </w:r>
      <w:r w:rsidR="00D42513">
        <w:t xml:space="preserve"> was proposed as it is </w:t>
      </w:r>
      <w:r>
        <w:t>compatible with international and Member State frameworks,</w:t>
      </w:r>
      <w:r w:rsidR="00141F6F">
        <w:t xml:space="preserve"> i</w:t>
      </w:r>
      <w:r w:rsidR="001F2F9F">
        <w:t>t i</w:t>
      </w:r>
      <w:r w:rsidR="00141F6F">
        <w:t>s comprehensive in its coverage of the EU economy,</w:t>
      </w:r>
      <w:r>
        <w:t xml:space="preserve"> is used by EU institutions such as Eurostat, and is used by some financial </w:t>
      </w:r>
      <w:r w:rsidR="00A957C5">
        <w:t>institutions</w:t>
      </w:r>
      <w:r>
        <w:t xml:space="preserve">. </w:t>
      </w:r>
    </w:p>
    <w:p w14:paraId="46505B64" w14:textId="77777777" w:rsidR="00A20BEB" w:rsidRDefault="00C341E5" w:rsidP="002A5A2D">
      <w:pPr>
        <w:jc w:val="both"/>
        <w:rPr>
          <w:rFonts w:ascii="Calibri" w:hAnsi="Calibri" w:cs="Calibri"/>
        </w:rPr>
      </w:pPr>
      <w:r>
        <w:rPr>
          <w:rFonts w:ascii="Calibri" w:hAnsi="Calibri" w:cs="Calibri"/>
        </w:rPr>
        <w:t xml:space="preserve">The group </w:t>
      </w:r>
      <w:r w:rsidR="00370875">
        <w:rPr>
          <w:rFonts w:ascii="Calibri" w:hAnsi="Calibri" w:cs="Calibri"/>
        </w:rPr>
        <w:t>has also noted</w:t>
      </w:r>
      <w:r>
        <w:rPr>
          <w:rFonts w:ascii="Calibri" w:hAnsi="Calibri" w:cs="Calibri"/>
        </w:rPr>
        <w:t xml:space="preserve"> that the GICS</w:t>
      </w:r>
      <w:r>
        <w:rPr>
          <w:rStyle w:val="Odwoanieprzypisudolnego"/>
          <w:rFonts w:ascii="Calibri" w:hAnsi="Calibri" w:cs="Calibri"/>
        </w:rPr>
        <w:footnoteReference w:id="5"/>
      </w:r>
      <w:r>
        <w:rPr>
          <w:rFonts w:ascii="Calibri" w:hAnsi="Calibri" w:cs="Calibri"/>
        </w:rPr>
        <w:t xml:space="preserve"> system is widely used in the financial sector</w:t>
      </w:r>
      <w:r w:rsidR="00574CE4">
        <w:rPr>
          <w:rFonts w:ascii="Calibri" w:hAnsi="Calibri" w:cs="Calibri"/>
        </w:rPr>
        <w:t>, although it is more limited in its coverage of the economy</w:t>
      </w:r>
      <w:r w:rsidRPr="000D1580">
        <w:rPr>
          <w:rFonts w:ascii="Calibri" w:hAnsi="Calibri" w:cs="Calibri"/>
        </w:rPr>
        <w:t xml:space="preserve">. </w:t>
      </w:r>
      <w:r w:rsidR="0023495C" w:rsidRPr="000D1580">
        <w:rPr>
          <w:rFonts w:ascii="Calibri" w:hAnsi="Calibri" w:cs="Calibri"/>
        </w:rPr>
        <w:t xml:space="preserve">To ensure the Taxonomy meets </w:t>
      </w:r>
      <w:r w:rsidR="00AE235D">
        <w:rPr>
          <w:rFonts w:ascii="Calibri" w:hAnsi="Calibri" w:cs="Calibri"/>
        </w:rPr>
        <w:t xml:space="preserve">also </w:t>
      </w:r>
      <w:r w:rsidR="0023495C" w:rsidRPr="000D1580">
        <w:rPr>
          <w:rFonts w:ascii="Calibri" w:hAnsi="Calibri" w:cs="Calibri"/>
        </w:rPr>
        <w:t xml:space="preserve">the needs of financial institutions, </w:t>
      </w:r>
      <w:r w:rsidR="00CB0560">
        <w:rPr>
          <w:rFonts w:ascii="Calibri" w:hAnsi="Calibri" w:cs="Calibri"/>
        </w:rPr>
        <w:t>the group intends to develop a translation tool for users of the Taxonomy to align</w:t>
      </w:r>
      <w:r w:rsidR="00AF2503">
        <w:rPr>
          <w:rFonts w:ascii="Calibri" w:hAnsi="Calibri" w:cs="Calibri"/>
        </w:rPr>
        <w:t xml:space="preserve"> as much as possible </w:t>
      </w:r>
      <w:r w:rsidR="00CB0560">
        <w:rPr>
          <w:rFonts w:ascii="Calibri" w:hAnsi="Calibri" w:cs="Calibri"/>
        </w:rPr>
        <w:t>the content with GICS.</w:t>
      </w:r>
      <w:r w:rsidRPr="000D1580">
        <w:rPr>
          <w:rFonts w:ascii="Calibri" w:hAnsi="Calibri" w:cs="Calibri"/>
        </w:rPr>
        <w:t xml:space="preserve"> </w:t>
      </w:r>
    </w:p>
    <w:p w14:paraId="02ECD7CA" w14:textId="77777777" w:rsidR="00E33201" w:rsidRDefault="00381104" w:rsidP="002A5A2D">
      <w:pPr>
        <w:jc w:val="both"/>
        <w:rPr>
          <w:b/>
        </w:rPr>
      </w:pPr>
      <w:r w:rsidRPr="006A05F8">
        <w:rPr>
          <w:b/>
        </w:rPr>
        <w:t xml:space="preserve">Key decisions taken </w:t>
      </w:r>
    </w:p>
    <w:p w14:paraId="531F0F96" w14:textId="6205919A" w:rsidR="00020B38" w:rsidRPr="0095647E" w:rsidRDefault="00020B38" w:rsidP="002A5A2D">
      <w:pPr>
        <w:pStyle w:val="Akapitzlist"/>
        <w:numPr>
          <w:ilvl w:val="0"/>
          <w:numId w:val="2"/>
        </w:numPr>
        <w:jc w:val="both"/>
        <w:rPr>
          <w:b/>
        </w:rPr>
      </w:pPr>
      <w:r w:rsidRPr="00B459D9">
        <w:rPr>
          <w:rFonts w:ascii="Calibri" w:hAnsi="Calibri" w:cs="Calibri"/>
        </w:rPr>
        <w:t xml:space="preserve">The NACE industrial classification </w:t>
      </w:r>
      <w:r w:rsidR="00576737" w:rsidRPr="00B459D9">
        <w:rPr>
          <w:rFonts w:ascii="Calibri" w:hAnsi="Calibri" w:cs="Calibri"/>
        </w:rPr>
        <w:t>will</w:t>
      </w:r>
      <w:r w:rsidRPr="00B459D9">
        <w:rPr>
          <w:rFonts w:ascii="Calibri" w:hAnsi="Calibri" w:cs="Calibri"/>
        </w:rPr>
        <w:t xml:space="preserve"> be used as </w:t>
      </w:r>
      <w:r w:rsidR="00E9655A" w:rsidRPr="00B459D9">
        <w:rPr>
          <w:rFonts w:ascii="Calibri" w:hAnsi="Calibri" w:cs="Calibri"/>
        </w:rPr>
        <w:t xml:space="preserve">the </w:t>
      </w:r>
      <w:r w:rsidRPr="00B459D9">
        <w:rPr>
          <w:rFonts w:ascii="Calibri" w:hAnsi="Calibri" w:cs="Calibri"/>
        </w:rPr>
        <w:t>starting point for the Taxonomy</w:t>
      </w:r>
      <w:r w:rsidR="00B459D9" w:rsidRPr="00B459D9">
        <w:rPr>
          <w:rFonts w:ascii="Calibri" w:hAnsi="Calibri" w:cs="Calibri"/>
        </w:rPr>
        <w:t xml:space="preserve">. </w:t>
      </w:r>
      <w:r w:rsidR="007B5407">
        <w:rPr>
          <w:rFonts w:ascii="Calibri" w:hAnsi="Calibri" w:cs="Calibri"/>
        </w:rPr>
        <w:t>The classification will</w:t>
      </w:r>
      <w:r w:rsidR="00AC2293">
        <w:rPr>
          <w:rFonts w:ascii="Calibri" w:hAnsi="Calibri" w:cs="Calibri"/>
        </w:rPr>
        <w:t xml:space="preserve"> </w:t>
      </w:r>
      <w:r w:rsidRPr="00B459D9">
        <w:rPr>
          <w:rFonts w:ascii="Calibri" w:hAnsi="Calibri" w:cs="Calibri"/>
        </w:rPr>
        <w:t xml:space="preserve">be supplemented, where useful, by </w:t>
      </w:r>
      <w:r w:rsidR="00344213">
        <w:rPr>
          <w:rFonts w:ascii="Calibri" w:hAnsi="Calibri" w:cs="Calibri"/>
        </w:rPr>
        <w:t>definitions from other</w:t>
      </w:r>
      <w:r w:rsidR="00964B74">
        <w:rPr>
          <w:rFonts w:ascii="Calibri" w:hAnsi="Calibri" w:cs="Calibri"/>
        </w:rPr>
        <w:t xml:space="preserve"> EU</w:t>
      </w:r>
      <w:r w:rsidR="00344213">
        <w:rPr>
          <w:rFonts w:ascii="Calibri" w:hAnsi="Calibri" w:cs="Calibri"/>
        </w:rPr>
        <w:t xml:space="preserve"> classification systems</w:t>
      </w:r>
      <w:r w:rsidRPr="00B459D9">
        <w:rPr>
          <w:rFonts w:ascii="Calibri" w:hAnsi="Calibri" w:cs="Calibri"/>
        </w:rPr>
        <w:t xml:space="preserve"> such as CPA</w:t>
      </w:r>
      <w:r>
        <w:rPr>
          <w:rStyle w:val="Odwoanieprzypisudolnego"/>
          <w:rFonts w:ascii="Calibri" w:hAnsi="Calibri" w:cs="Calibri"/>
        </w:rPr>
        <w:footnoteReference w:id="6"/>
      </w:r>
      <w:r w:rsidRPr="00B459D9">
        <w:rPr>
          <w:rFonts w:ascii="Calibri" w:hAnsi="Calibri" w:cs="Calibri"/>
        </w:rPr>
        <w:t xml:space="preserve">, </w:t>
      </w:r>
      <w:r w:rsidR="00AC2293">
        <w:rPr>
          <w:rFonts w:ascii="Calibri" w:hAnsi="Calibri" w:cs="Calibri"/>
        </w:rPr>
        <w:t>PRODCOM</w:t>
      </w:r>
      <w:r w:rsidR="00AC2293">
        <w:rPr>
          <w:rStyle w:val="Odwoanieprzypisudolnego"/>
          <w:rFonts w:ascii="Calibri" w:hAnsi="Calibri" w:cs="Calibri"/>
        </w:rPr>
        <w:footnoteReference w:id="7"/>
      </w:r>
      <w:r w:rsidR="00AC2293">
        <w:rPr>
          <w:rFonts w:ascii="Calibri" w:hAnsi="Calibri" w:cs="Calibri"/>
        </w:rPr>
        <w:t>,</w:t>
      </w:r>
      <w:r w:rsidR="00A95A70">
        <w:rPr>
          <w:rFonts w:ascii="Calibri" w:hAnsi="Calibri" w:cs="Calibri"/>
        </w:rPr>
        <w:t xml:space="preserve"> </w:t>
      </w:r>
      <w:proofErr w:type="spellStart"/>
      <w:r w:rsidRPr="00B459D9">
        <w:rPr>
          <w:rFonts w:ascii="Calibri" w:hAnsi="Calibri" w:cs="Calibri"/>
        </w:rPr>
        <w:t>CReMA</w:t>
      </w:r>
      <w:proofErr w:type="spellEnd"/>
      <w:r w:rsidRPr="00B459D9">
        <w:rPr>
          <w:rFonts w:ascii="Calibri" w:hAnsi="Calibri" w:cs="Calibri"/>
        </w:rPr>
        <w:t xml:space="preserve"> and CEPA.</w:t>
      </w:r>
      <w:r w:rsidRPr="00020B38">
        <w:t xml:space="preserve"> </w:t>
      </w:r>
    </w:p>
    <w:p w14:paraId="33151BA3" w14:textId="6AAAF744" w:rsidR="00AA2064" w:rsidRPr="006838CB" w:rsidRDefault="00F054C7" w:rsidP="002A5A2D">
      <w:pPr>
        <w:pStyle w:val="Akapitzlist"/>
        <w:numPr>
          <w:ilvl w:val="0"/>
          <w:numId w:val="2"/>
        </w:numPr>
        <w:jc w:val="both"/>
        <w:rPr>
          <w:b/>
        </w:rPr>
      </w:pPr>
      <w:r w:rsidRPr="0095647E">
        <w:t>The group will develop</w:t>
      </w:r>
      <w:r w:rsidR="00A21B87" w:rsidRPr="000D1580">
        <w:t xml:space="preserve"> a translational tool to help </w:t>
      </w:r>
      <w:r w:rsidR="00A21B87" w:rsidRPr="0095647E">
        <w:t xml:space="preserve">users </w:t>
      </w:r>
      <w:r w:rsidR="00E867C7">
        <w:t>more familiar with GICS</w:t>
      </w:r>
      <w:r w:rsidR="008E0B49">
        <w:rPr>
          <w:rStyle w:val="Odwoanieprzypisudolnego"/>
        </w:rPr>
        <w:footnoteReference w:id="8"/>
      </w:r>
      <w:r w:rsidR="00E867C7">
        <w:t xml:space="preserve"> </w:t>
      </w:r>
      <w:r w:rsidR="008C313C">
        <w:t xml:space="preserve">to </w:t>
      </w:r>
      <w:r w:rsidR="008C313C" w:rsidRPr="0095647E">
        <w:t>inter</w:t>
      </w:r>
      <w:r w:rsidR="008C313C">
        <w:t>pret and consult</w:t>
      </w:r>
      <w:r w:rsidR="008C313C" w:rsidRPr="0095647E">
        <w:t xml:space="preserve"> the Taxonomy</w:t>
      </w:r>
      <w:r w:rsidR="008C313C">
        <w:t>.</w:t>
      </w:r>
    </w:p>
    <w:p w14:paraId="4BD211B5" w14:textId="77777777" w:rsidR="00AA2064" w:rsidRPr="0095647E" w:rsidRDefault="00AA2064" w:rsidP="002A5A2D">
      <w:pPr>
        <w:pStyle w:val="Zwykytekst"/>
        <w:jc w:val="both"/>
        <w:rPr>
          <w:b/>
        </w:rPr>
      </w:pPr>
      <w:r w:rsidRPr="0095647E">
        <w:rPr>
          <w:b/>
        </w:rPr>
        <w:t>Next steps</w:t>
      </w:r>
    </w:p>
    <w:p w14:paraId="54FE3042" w14:textId="77777777" w:rsidR="00AA2064" w:rsidRPr="0095647E" w:rsidRDefault="00AA2064" w:rsidP="002A5A2D">
      <w:pPr>
        <w:pStyle w:val="Zwykytekst"/>
        <w:numPr>
          <w:ilvl w:val="0"/>
          <w:numId w:val="20"/>
        </w:numPr>
        <w:jc w:val="both"/>
      </w:pPr>
      <w:r w:rsidRPr="0095647E">
        <w:t xml:space="preserve">The mapping exercises will be </w:t>
      </w:r>
      <w:r w:rsidR="009F580E">
        <w:t xml:space="preserve">continued to conclusion to enable the translational tool to be developed. </w:t>
      </w:r>
    </w:p>
    <w:bookmarkEnd w:id="6"/>
    <w:p w14:paraId="368E3635" w14:textId="77777777" w:rsidR="0091227D" w:rsidRDefault="0091227D" w:rsidP="002A5A2D">
      <w:pPr>
        <w:pStyle w:val="Zwykytekst"/>
        <w:jc w:val="both"/>
      </w:pPr>
    </w:p>
    <w:p w14:paraId="08C26E1E" w14:textId="35ADC4E1" w:rsidR="008F6CDC" w:rsidRDefault="00964B74" w:rsidP="002A5A2D">
      <w:pPr>
        <w:pStyle w:val="Nagwek2"/>
        <w:jc w:val="both"/>
      </w:pPr>
      <w:bookmarkStart w:id="7" w:name="_Toc525115755"/>
      <w:r>
        <w:t>Progress achieved on climate mitigation and</w:t>
      </w:r>
      <w:r w:rsidR="00812C3D" w:rsidRPr="00431527">
        <w:t xml:space="preserve"> adaptation</w:t>
      </w:r>
      <w:bookmarkEnd w:id="7"/>
      <w:r>
        <w:t xml:space="preserve"> economic activities</w:t>
      </w:r>
    </w:p>
    <w:p w14:paraId="5D6D70A3" w14:textId="77777777" w:rsidR="000A4B17" w:rsidRDefault="000A4B17" w:rsidP="009505A6">
      <w:pPr>
        <w:pStyle w:val="Zwykytekst"/>
        <w:jc w:val="both"/>
      </w:pPr>
    </w:p>
    <w:p w14:paraId="4F7D7324" w14:textId="47C27BB4" w:rsidR="007D41C6" w:rsidRDefault="00E7759F" w:rsidP="009505A6">
      <w:pPr>
        <w:pStyle w:val="Zwykytekst"/>
        <w:jc w:val="both"/>
        <w:rPr>
          <w:sz w:val="20"/>
          <w:szCs w:val="20"/>
        </w:rPr>
      </w:pPr>
      <w:r>
        <w:t xml:space="preserve">The </w:t>
      </w:r>
      <w:r w:rsidR="0038722A">
        <w:t>group</w:t>
      </w:r>
      <w:r>
        <w:t xml:space="preserve"> is tasked with proposing </w:t>
      </w:r>
      <w:r w:rsidR="00CB0560">
        <w:t>technical screening criteria</w:t>
      </w:r>
      <w:r>
        <w:t xml:space="preserve">, </w:t>
      </w:r>
      <w:r w:rsidR="00CB0560">
        <w:t xml:space="preserve">including thresholds </w:t>
      </w:r>
      <w:r>
        <w:t>where possible,</w:t>
      </w:r>
      <w:r w:rsidR="00086083">
        <w:t xml:space="preserve"> </w:t>
      </w:r>
      <w:r>
        <w:t xml:space="preserve">for economic activities that </w:t>
      </w:r>
      <w:r w:rsidR="00964B74">
        <w:t xml:space="preserve">have </w:t>
      </w:r>
      <w:r w:rsidR="00F54275">
        <w:t>the potential to substantially contribute to</w:t>
      </w:r>
      <w:r>
        <w:t xml:space="preserve"> </w:t>
      </w:r>
      <w:r w:rsidR="00F54275">
        <w:t>climate change</w:t>
      </w:r>
      <w:r>
        <w:t xml:space="preserve"> mitigation and adaptation objectives</w:t>
      </w:r>
      <w:r w:rsidR="00F54275">
        <w:t>,</w:t>
      </w:r>
      <w:r w:rsidR="00751B71">
        <w:t xml:space="preserve"> with the view of classifying them as environmentally sustainable</w:t>
      </w:r>
      <w:r w:rsidR="00886C76">
        <w:t xml:space="preserve"> in line with the Taxonomy proposal (in particular Article 6 and 7)</w:t>
      </w:r>
      <w:r>
        <w:t>.</w:t>
      </w:r>
      <w:r w:rsidR="007239D6">
        <w:t xml:space="preserve"> The group has focussed on</w:t>
      </w:r>
      <w:r w:rsidR="00082D19">
        <w:t xml:space="preserve"> gathering and synthesising information on mitigation and adaptation-related economic activities</w:t>
      </w:r>
      <w:r w:rsidR="00CB0560">
        <w:t xml:space="preserve"> to date</w:t>
      </w:r>
      <w:r w:rsidR="00886C76">
        <w:t xml:space="preserve"> in particular leveraging on existing taxonomies including the w</w:t>
      </w:r>
      <w:r w:rsidR="00015855">
        <w:t xml:space="preserve">ork performed by the High Level </w:t>
      </w:r>
      <w:r w:rsidR="00886C76">
        <w:t xml:space="preserve">Expert Group (HLEG) on sustainable </w:t>
      </w:r>
      <w:r w:rsidR="00886C76" w:rsidRPr="009505A6">
        <w:t>finance</w:t>
      </w:r>
      <w:r w:rsidR="00886C76" w:rsidRPr="009505A6">
        <w:rPr>
          <w:rStyle w:val="Odwoanieprzypisudolnego"/>
        </w:rPr>
        <w:footnoteReference w:id="9"/>
      </w:r>
      <w:r w:rsidR="00886C76" w:rsidRPr="009505A6">
        <w:t>.</w:t>
      </w:r>
    </w:p>
    <w:p w14:paraId="7DDD5256" w14:textId="77777777" w:rsidR="007D41C6" w:rsidRDefault="007D41C6" w:rsidP="00015855">
      <w:pPr>
        <w:pStyle w:val="Zwykytekst"/>
        <w:rPr>
          <w:sz w:val="20"/>
          <w:szCs w:val="20"/>
        </w:rPr>
      </w:pPr>
    </w:p>
    <w:p w14:paraId="001068AF" w14:textId="09790A49" w:rsidR="00925CC2" w:rsidRDefault="00925CC2" w:rsidP="00015855">
      <w:pPr>
        <w:pStyle w:val="Zwykytekst"/>
      </w:pPr>
    </w:p>
    <w:p w14:paraId="58A27F5E" w14:textId="18F4A21C" w:rsidR="003D759F" w:rsidRDefault="00E24E45" w:rsidP="009505A6">
      <w:pPr>
        <w:pStyle w:val="Nagwek3"/>
        <w:numPr>
          <w:ilvl w:val="0"/>
          <w:numId w:val="9"/>
        </w:numPr>
        <w:jc w:val="both"/>
      </w:pPr>
      <w:r>
        <w:t>Fi</w:t>
      </w:r>
      <w:r w:rsidR="007D41C6">
        <w:t>rs</w:t>
      </w:r>
      <w:r>
        <w:t>t pri</w:t>
      </w:r>
      <w:r w:rsidR="003D759F">
        <w:t>ority sectors</w:t>
      </w:r>
      <w:r>
        <w:t xml:space="preserve"> list identified for</w:t>
      </w:r>
      <w:r w:rsidR="003D759F">
        <w:t xml:space="preserve"> </w:t>
      </w:r>
      <w:r>
        <w:t xml:space="preserve">climate </w:t>
      </w:r>
      <w:r w:rsidR="003D759F">
        <w:t>mitigation</w:t>
      </w:r>
      <w:r>
        <w:t xml:space="preserve"> objective</w:t>
      </w:r>
    </w:p>
    <w:p w14:paraId="276F550D" w14:textId="5D1EDBBD" w:rsidR="00C77727" w:rsidRDefault="003D759F" w:rsidP="00C77727">
      <w:pPr>
        <w:pStyle w:val="Zwykytekst"/>
        <w:jc w:val="both"/>
        <w:rPr>
          <w:rFonts w:eastAsia="Times New Roman"/>
          <w:color w:val="000000"/>
          <w:szCs w:val="22"/>
        </w:rPr>
      </w:pPr>
      <w:r>
        <w:rPr>
          <w:rFonts w:eastAsia="Times New Roman"/>
          <w:color w:val="000000"/>
          <w:szCs w:val="22"/>
        </w:rPr>
        <w:t>On</w:t>
      </w:r>
      <w:r w:rsidR="00015855">
        <w:rPr>
          <w:rFonts w:eastAsia="Times New Roman"/>
          <w:color w:val="000000"/>
          <w:szCs w:val="22"/>
        </w:rPr>
        <w:t xml:space="preserve"> economic activities delivering on</w:t>
      </w:r>
      <w:r>
        <w:rPr>
          <w:rFonts w:eastAsia="Times New Roman"/>
          <w:color w:val="000000"/>
          <w:szCs w:val="22"/>
        </w:rPr>
        <w:t xml:space="preserve"> </w:t>
      </w:r>
      <w:r w:rsidR="00015855">
        <w:rPr>
          <w:rFonts w:eastAsia="Times New Roman"/>
          <w:color w:val="000000"/>
          <w:szCs w:val="22"/>
        </w:rPr>
        <w:t xml:space="preserve">climate </w:t>
      </w:r>
      <w:r>
        <w:rPr>
          <w:rFonts w:eastAsia="Times New Roman"/>
          <w:color w:val="000000"/>
          <w:szCs w:val="22"/>
        </w:rPr>
        <w:t>mitigation</w:t>
      </w:r>
      <w:r w:rsidR="00015855">
        <w:rPr>
          <w:rFonts w:eastAsia="Times New Roman"/>
          <w:color w:val="000000"/>
          <w:szCs w:val="22"/>
        </w:rPr>
        <w:t xml:space="preserve"> objective</w:t>
      </w:r>
      <w:r>
        <w:rPr>
          <w:rFonts w:eastAsia="Times New Roman"/>
          <w:color w:val="000000"/>
          <w:szCs w:val="22"/>
        </w:rPr>
        <w:t xml:space="preserve">, the group has carried out an initial mapping exercise to identify </w:t>
      </w:r>
      <w:r w:rsidR="00D977C4">
        <w:rPr>
          <w:rFonts w:eastAsia="Times New Roman"/>
          <w:color w:val="000000"/>
          <w:szCs w:val="22"/>
        </w:rPr>
        <w:t>a first set of</w:t>
      </w:r>
      <w:r>
        <w:rPr>
          <w:rFonts w:eastAsia="Times New Roman"/>
          <w:color w:val="000000"/>
          <w:szCs w:val="22"/>
        </w:rPr>
        <w:t xml:space="preserve"> priority sectors</w:t>
      </w:r>
      <w:r w:rsidR="00015855">
        <w:rPr>
          <w:rFonts w:eastAsia="Times New Roman"/>
          <w:color w:val="000000"/>
          <w:szCs w:val="22"/>
        </w:rPr>
        <w:t xml:space="preserve">. </w:t>
      </w:r>
    </w:p>
    <w:p w14:paraId="745DA747" w14:textId="5D7ECD57" w:rsidR="00015855" w:rsidRDefault="00015855" w:rsidP="00C77727">
      <w:pPr>
        <w:pStyle w:val="Zwykytekst"/>
        <w:jc w:val="both"/>
      </w:pPr>
      <w:r>
        <w:rPr>
          <w:rFonts w:eastAsia="Times New Roman"/>
          <w:color w:val="000000"/>
          <w:szCs w:val="22"/>
        </w:rPr>
        <w:t>Th</w:t>
      </w:r>
      <w:r w:rsidR="00C9723A">
        <w:rPr>
          <w:rFonts w:eastAsia="Times New Roman"/>
          <w:color w:val="000000"/>
          <w:szCs w:val="22"/>
        </w:rPr>
        <w:t>e applied methodology by the TEG</w:t>
      </w:r>
      <w:r>
        <w:rPr>
          <w:rFonts w:eastAsia="Times New Roman"/>
          <w:color w:val="000000"/>
          <w:szCs w:val="22"/>
        </w:rPr>
        <w:t xml:space="preserve"> </w:t>
      </w:r>
      <w:r w:rsidR="003D759F">
        <w:t xml:space="preserve">has resulted in the selection of six </w:t>
      </w:r>
      <w:r w:rsidR="008C7004">
        <w:t>"</w:t>
      </w:r>
      <w:r w:rsidR="003D759F">
        <w:t>NACE level 1</w:t>
      </w:r>
      <w:r w:rsidR="008C7004">
        <w:t>" macro-</w:t>
      </w:r>
      <w:r w:rsidR="003D759F">
        <w:t>sectors (see left column of table below).</w:t>
      </w:r>
      <w:r>
        <w:t xml:space="preserve"> As explained with further details in Annex 1, these macro-sectors were selected based on a combination of high emitting </w:t>
      </w:r>
      <w:r w:rsidR="008C7004">
        <w:t xml:space="preserve">as well as </w:t>
      </w:r>
      <w:r>
        <w:t>high confidence mitigation potential</w:t>
      </w:r>
      <w:r w:rsidR="008C7004">
        <w:t xml:space="preserve"> considerations.</w:t>
      </w:r>
    </w:p>
    <w:p w14:paraId="6CFD2006" w14:textId="1353D5A2" w:rsidR="003D759F" w:rsidRDefault="00C77727" w:rsidP="00C77727">
      <w:pPr>
        <w:pStyle w:val="Zwykytekst"/>
        <w:jc w:val="both"/>
      </w:pPr>
      <w:r>
        <w:t>Moreover,</w:t>
      </w:r>
      <w:r w:rsidR="00C9723A">
        <w:t xml:space="preserve"> within each macro-sector the TE</w:t>
      </w:r>
      <w:r>
        <w:t xml:space="preserve">G has identified priority sectors/sub-sectors where thresholds and technical screening criteria have already been developed or are widely used by the </w:t>
      </w:r>
      <w:r>
        <w:lastRenderedPageBreak/>
        <w:t>market.</w:t>
      </w:r>
      <w:r w:rsidR="00015855">
        <w:t xml:space="preserve"> </w:t>
      </w:r>
      <w:r w:rsidR="008C7004">
        <w:t>These are provided in the righ</w:t>
      </w:r>
      <w:r w:rsidR="00C9723A">
        <w:t>t column of the table and are TE</w:t>
      </w:r>
      <w:r w:rsidR="008C7004">
        <w:t>G's current priority focus</w:t>
      </w:r>
      <w:r w:rsidR="00AE4E61">
        <w:t xml:space="preserve"> in the weeks to come</w:t>
      </w:r>
      <w:r w:rsidR="008C7004">
        <w:t>.</w:t>
      </w:r>
    </w:p>
    <w:p w14:paraId="6E59C5D2" w14:textId="77777777" w:rsidR="003D759F" w:rsidRDefault="003D759F" w:rsidP="003D759F">
      <w:pPr>
        <w:pStyle w:val="Zwykytekst"/>
        <w:jc w:val="both"/>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024"/>
      </w:tblGrid>
      <w:tr w:rsidR="003D759F" w14:paraId="1185EDB4" w14:textId="77777777" w:rsidTr="008C7004">
        <w:tc>
          <w:tcPr>
            <w:tcW w:w="2250" w:type="pct"/>
            <w:tcBorders>
              <w:top w:val="single" w:sz="4" w:space="0" w:color="auto"/>
              <w:left w:val="single" w:sz="4" w:space="0" w:color="auto"/>
              <w:bottom w:val="single" w:sz="4" w:space="0" w:color="auto"/>
              <w:right w:val="single" w:sz="4" w:space="0" w:color="auto"/>
            </w:tcBorders>
            <w:shd w:val="clear" w:color="auto" w:fill="00B0F0"/>
            <w:hideMark/>
          </w:tcPr>
          <w:p w14:paraId="0506FC75" w14:textId="505FDAAA" w:rsidR="003D759F" w:rsidRDefault="003D759F">
            <w:pPr>
              <w:spacing w:before="20" w:after="20" w:line="210" w:lineRule="atLeast"/>
              <w:jc w:val="both"/>
              <w:rPr>
                <w:rFonts w:ascii="Calibri" w:hAnsi="Calibri"/>
                <w:sz w:val="20"/>
                <w:szCs w:val="20"/>
              </w:rPr>
            </w:pPr>
            <w:r>
              <w:rPr>
                <w:rFonts w:ascii="Calibri" w:hAnsi="Calibri"/>
                <w:sz w:val="20"/>
                <w:szCs w:val="20"/>
              </w:rPr>
              <w:t>N</w:t>
            </w:r>
            <w:r w:rsidR="00E24E45">
              <w:rPr>
                <w:rFonts w:ascii="Calibri" w:hAnsi="Calibri"/>
                <w:sz w:val="20"/>
                <w:szCs w:val="20"/>
              </w:rPr>
              <w:t>ACE Macro-</w:t>
            </w:r>
            <w:r>
              <w:rPr>
                <w:rFonts w:ascii="Calibri" w:hAnsi="Calibri"/>
                <w:sz w:val="20"/>
                <w:szCs w:val="20"/>
              </w:rPr>
              <w:t xml:space="preserve">sector </w:t>
            </w:r>
          </w:p>
        </w:tc>
        <w:tc>
          <w:tcPr>
            <w:tcW w:w="2750" w:type="pct"/>
            <w:tcBorders>
              <w:top w:val="single" w:sz="4" w:space="0" w:color="auto"/>
              <w:left w:val="single" w:sz="4" w:space="0" w:color="auto"/>
              <w:bottom w:val="single" w:sz="4" w:space="0" w:color="auto"/>
              <w:right w:val="single" w:sz="4" w:space="0" w:color="auto"/>
            </w:tcBorders>
            <w:shd w:val="clear" w:color="auto" w:fill="00B0F0"/>
            <w:hideMark/>
          </w:tcPr>
          <w:p w14:paraId="780FCF05" w14:textId="77777777" w:rsidR="003D759F" w:rsidRDefault="003D759F">
            <w:pPr>
              <w:spacing w:before="20" w:after="20" w:line="210" w:lineRule="atLeast"/>
              <w:jc w:val="both"/>
              <w:rPr>
                <w:rFonts w:ascii="Calibri" w:hAnsi="Calibri"/>
                <w:sz w:val="20"/>
                <w:szCs w:val="20"/>
              </w:rPr>
            </w:pPr>
            <w:r>
              <w:rPr>
                <w:rFonts w:ascii="Calibri" w:hAnsi="Calibri"/>
                <w:sz w:val="20"/>
                <w:szCs w:val="20"/>
              </w:rPr>
              <w:t>Short term focus / areas with established market guidance</w:t>
            </w:r>
          </w:p>
        </w:tc>
      </w:tr>
      <w:tr w:rsidR="003D759F" w14:paraId="729BA44C" w14:textId="77777777" w:rsidTr="008C7004">
        <w:tc>
          <w:tcPr>
            <w:tcW w:w="2250" w:type="pct"/>
            <w:tcBorders>
              <w:top w:val="single" w:sz="4" w:space="0" w:color="auto"/>
              <w:left w:val="single" w:sz="4" w:space="0" w:color="auto"/>
              <w:bottom w:val="single" w:sz="4" w:space="0" w:color="auto"/>
              <w:right w:val="single" w:sz="4" w:space="0" w:color="auto"/>
            </w:tcBorders>
            <w:hideMark/>
          </w:tcPr>
          <w:p w14:paraId="59FCC1AB" w14:textId="77777777" w:rsidR="003D759F" w:rsidRPr="00AB372F" w:rsidRDefault="003D759F">
            <w:pPr>
              <w:spacing w:before="20" w:after="20" w:line="210" w:lineRule="atLeast"/>
              <w:jc w:val="both"/>
              <w:rPr>
                <w:rFonts w:ascii="Calibri" w:hAnsi="Calibri"/>
                <w:sz w:val="20"/>
                <w:szCs w:val="20"/>
              </w:rPr>
            </w:pPr>
            <w:r w:rsidRPr="00AB372F">
              <w:rPr>
                <w:sz w:val="20"/>
                <w:szCs w:val="20"/>
                <w:lang w:eastAsia="en-GB"/>
              </w:rPr>
              <w:t>A – Agriculture, forestry and fishing</w:t>
            </w:r>
          </w:p>
        </w:tc>
        <w:tc>
          <w:tcPr>
            <w:tcW w:w="2750" w:type="pct"/>
            <w:tcBorders>
              <w:top w:val="single" w:sz="4" w:space="0" w:color="auto"/>
              <w:left w:val="single" w:sz="4" w:space="0" w:color="auto"/>
              <w:bottom w:val="single" w:sz="4" w:space="0" w:color="auto"/>
              <w:right w:val="single" w:sz="4" w:space="0" w:color="auto"/>
            </w:tcBorders>
            <w:hideMark/>
          </w:tcPr>
          <w:p w14:paraId="509EAE90" w14:textId="77777777" w:rsidR="003D759F" w:rsidRPr="00AB372F" w:rsidRDefault="003D759F">
            <w:pPr>
              <w:spacing w:before="20" w:after="20" w:line="210" w:lineRule="atLeast"/>
              <w:jc w:val="both"/>
              <w:rPr>
                <w:rFonts w:ascii="Calibri" w:hAnsi="Calibri"/>
                <w:sz w:val="20"/>
                <w:szCs w:val="20"/>
              </w:rPr>
            </w:pPr>
            <w:r w:rsidRPr="00AB372F">
              <w:rPr>
                <w:rFonts w:ascii="Calibri" w:hAnsi="Calibri"/>
                <w:sz w:val="20"/>
                <w:szCs w:val="20"/>
              </w:rPr>
              <w:t xml:space="preserve">Forestry </w:t>
            </w:r>
          </w:p>
        </w:tc>
      </w:tr>
      <w:tr w:rsidR="003D759F" w14:paraId="523388C4" w14:textId="77777777" w:rsidTr="008C7004">
        <w:tc>
          <w:tcPr>
            <w:tcW w:w="2250" w:type="pct"/>
            <w:tcBorders>
              <w:top w:val="single" w:sz="4" w:space="0" w:color="auto"/>
              <w:left w:val="single" w:sz="4" w:space="0" w:color="auto"/>
              <w:bottom w:val="single" w:sz="4" w:space="0" w:color="auto"/>
              <w:right w:val="single" w:sz="4" w:space="0" w:color="auto"/>
            </w:tcBorders>
            <w:hideMark/>
          </w:tcPr>
          <w:p w14:paraId="57FAFD94" w14:textId="77777777" w:rsidR="003D759F" w:rsidRPr="00AB372F" w:rsidRDefault="003D759F">
            <w:pPr>
              <w:spacing w:before="20" w:after="20" w:line="210" w:lineRule="atLeast"/>
              <w:jc w:val="both"/>
              <w:rPr>
                <w:sz w:val="20"/>
                <w:szCs w:val="20"/>
                <w:lang w:eastAsia="en-GB"/>
              </w:rPr>
            </w:pPr>
            <w:r w:rsidRPr="00AB372F">
              <w:rPr>
                <w:sz w:val="20"/>
                <w:szCs w:val="20"/>
                <w:lang w:eastAsia="en-GB"/>
              </w:rPr>
              <w:t>C – Manufacturing</w:t>
            </w:r>
          </w:p>
        </w:tc>
        <w:tc>
          <w:tcPr>
            <w:tcW w:w="2750" w:type="pct"/>
            <w:tcBorders>
              <w:top w:val="single" w:sz="4" w:space="0" w:color="auto"/>
              <w:left w:val="single" w:sz="4" w:space="0" w:color="auto"/>
              <w:bottom w:val="single" w:sz="4" w:space="0" w:color="auto"/>
              <w:right w:val="single" w:sz="4" w:space="0" w:color="auto"/>
            </w:tcBorders>
            <w:hideMark/>
          </w:tcPr>
          <w:p w14:paraId="52DF0E47" w14:textId="3BDCD833" w:rsidR="003D759F" w:rsidRPr="00AB372F" w:rsidRDefault="003D759F">
            <w:pPr>
              <w:spacing w:before="20" w:after="20" w:line="210" w:lineRule="atLeast"/>
              <w:jc w:val="both"/>
              <w:rPr>
                <w:sz w:val="20"/>
                <w:szCs w:val="20"/>
              </w:rPr>
            </w:pPr>
            <w:r w:rsidRPr="00AB372F">
              <w:rPr>
                <w:iCs/>
                <w:sz w:val="20"/>
                <w:szCs w:val="20"/>
                <w:lang w:eastAsia="en-GB"/>
              </w:rPr>
              <w:t>Energy efficiency improvements in selected sub-sectors</w:t>
            </w:r>
          </w:p>
        </w:tc>
      </w:tr>
      <w:tr w:rsidR="003D759F" w14:paraId="24D2405D" w14:textId="77777777" w:rsidTr="008C7004">
        <w:tc>
          <w:tcPr>
            <w:tcW w:w="2250" w:type="pct"/>
            <w:tcBorders>
              <w:top w:val="single" w:sz="4" w:space="0" w:color="auto"/>
              <w:left w:val="single" w:sz="4" w:space="0" w:color="auto"/>
              <w:bottom w:val="single" w:sz="4" w:space="0" w:color="auto"/>
              <w:right w:val="single" w:sz="4" w:space="0" w:color="auto"/>
            </w:tcBorders>
            <w:hideMark/>
          </w:tcPr>
          <w:p w14:paraId="1E12B247" w14:textId="77777777" w:rsidR="003D759F" w:rsidRPr="00AB372F" w:rsidRDefault="003D759F">
            <w:pPr>
              <w:spacing w:before="20" w:after="20" w:line="210" w:lineRule="atLeast"/>
              <w:jc w:val="both"/>
              <w:rPr>
                <w:sz w:val="20"/>
                <w:szCs w:val="20"/>
                <w:lang w:eastAsia="en-GB"/>
              </w:rPr>
            </w:pPr>
            <w:r w:rsidRPr="00AB372F">
              <w:rPr>
                <w:sz w:val="20"/>
                <w:szCs w:val="20"/>
                <w:lang w:eastAsia="en-GB"/>
              </w:rPr>
              <w:t>D – Electricity, gas, steam and air conditioning supply</w:t>
            </w:r>
          </w:p>
        </w:tc>
        <w:tc>
          <w:tcPr>
            <w:tcW w:w="2750" w:type="pct"/>
            <w:tcBorders>
              <w:top w:val="single" w:sz="4" w:space="0" w:color="auto"/>
              <w:left w:val="single" w:sz="4" w:space="0" w:color="auto"/>
              <w:bottom w:val="single" w:sz="4" w:space="0" w:color="auto"/>
              <w:right w:val="single" w:sz="4" w:space="0" w:color="auto"/>
            </w:tcBorders>
            <w:hideMark/>
          </w:tcPr>
          <w:p w14:paraId="4E4E16EC" w14:textId="77777777" w:rsidR="003D759F" w:rsidRPr="00AB372F" w:rsidRDefault="003D759F">
            <w:pPr>
              <w:spacing w:before="20" w:after="20" w:line="210" w:lineRule="atLeast"/>
              <w:jc w:val="both"/>
              <w:rPr>
                <w:rFonts w:ascii="Calibri" w:hAnsi="Calibri"/>
                <w:sz w:val="20"/>
                <w:szCs w:val="20"/>
              </w:rPr>
            </w:pPr>
            <w:r w:rsidRPr="00AB372F">
              <w:rPr>
                <w:sz w:val="20"/>
                <w:szCs w:val="20"/>
              </w:rPr>
              <w:t>Renewable power and heat generation</w:t>
            </w:r>
          </w:p>
        </w:tc>
      </w:tr>
      <w:tr w:rsidR="003D759F" w14:paraId="2F393CAC" w14:textId="77777777" w:rsidTr="008C7004">
        <w:tc>
          <w:tcPr>
            <w:tcW w:w="2250" w:type="pct"/>
            <w:tcBorders>
              <w:top w:val="single" w:sz="4" w:space="0" w:color="auto"/>
              <w:left w:val="single" w:sz="4" w:space="0" w:color="auto"/>
              <w:bottom w:val="single" w:sz="4" w:space="0" w:color="auto"/>
              <w:right w:val="single" w:sz="4" w:space="0" w:color="auto"/>
            </w:tcBorders>
            <w:hideMark/>
          </w:tcPr>
          <w:p w14:paraId="30FC0774" w14:textId="77777777" w:rsidR="003D759F" w:rsidRPr="00AB372F" w:rsidRDefault="003D759F">
            <w:pPr>
              <w:spacing w:before="20" w:after="20" w:line="210" w:lineRule="atLeast"/>
              <w:jc w:val="both"/>
              <w:rPr>
                <w:sz w:val="20"/>
                <w:szCs w:val="20"/>
                <w:lang w:eastAsia="en-GB"/>
              </w:rPr>
            </w:pPr>
            <w:r w:rsidRPr="00AB372F">
              <w:rPr>
                <w:sz w:val="20"/>
                <w:szCs w:val="20"/>
                <w:lang w:eastAsia="en-GB"/>
              </w:rPr>
              <w:t>H – Transportation and storage</w:t>
            </w:r>
          </w:p>
        </w:tc>
        <w:tc>
          <w:tcPr>
            <w:tcW w:w="2750" w:type="pct"/>
            <w:tcBorders>
              <w:top w:val="single" w:sz="4" w:space="0" w:color="auto"/>
              <w:left w:val="single" w:sz="4" w:space="0" w:color="auto"/>
              <w:bottom w:val="single" w:sz="4" w:space="0" w:color="auto"/>
              <w:right w:val="single" w:sz="4" w:space="0" w:color="auto"/>
            </w:tcBorders>
            <w:hideMark/>
          </w:tcPr>
          <w:p w14:paraId="4FB6B48C" w14:textId="77777777" w:rsidR="003D759F" w:rsidRPr="00AB372F" w:rsidRDefault="003D759F">
            <w:pPr>
              <w:spacing w:before="20" w:after="20" w:line="210" w:lineRule="atLeast"/>
              <w:jc w:val="both"/>
              <w:rPr>
                <w:rFonts w:ascii="Calibri" w:hAnsi="Calibri"/>
                <w:sz w:val="20"/>
                <w:szCs w:val="20"/>
              </w:rPr>
            </w:pPr>
            <w:r w:rsidRPr="00AB372F">
              <w:rPr>
                <w:rFonts w:ascii="Calibri" w:hAnsi="Calibri"/>
                <w:sz w:val="20"/>
                <w:szCs w:val="20"/>
              </w:rPr>
              <w:t>Low carbon land transport</w:t>
            </w:r>
          </w:p>
        </w:tc>
      </w:tr>
      <w:tr w:rsidR="003D759F" w14:paraId="44ECC9D8" w14:textId="77777777" w:rsidTr="008C7004">
        <w:tc>
          <w:tcPr>
            <w:tcW w:w="2250" w:type="pct"/>
            <w:tcBorders>
              <w:top w:val="single" w:sz="4" w:space="0" w:color="auto"/>
              <w:left w:val="single" w:sz="4" w:space="0" w:color="auto"/>
              <w:bottom w:val="single" w:sz="4" w:space="0" w:color="auto"/>
              <w:right w:val="single" w:sz="4" w:space="0" w:color="auto"/>
            </w:tcBorders>
            <w:hideMark/>
          </w:tcPr>
          <w:p w14:paraId="41D955D8" w14:textId="77777777" w:rsidR="003D759F" w:rsidRPr="00AB372F" w:rsidRDefault="003D759F">
            <w:pPr>
              <w:spacing w:before="20" w:after="20" w:line="210" w:lineRule="atLeast"/>
              <w:jc w:val="both"/>
              <w:rPr>
                <w:sz w:val="20"/>
                <w:szCs w:val="20"/>
                <w:lang w:eastAsia="en-GB"/>
              </w:rPr>
            </w:pPr>
            <w:r w:rsidRPr="00AB372F">
              <w:rPr>
                <w:sz w:val="20"/>
                <w:szCs w:val="20"/>
                <w:lang w:eastAsia="en-GB"/>
              </w:rPr>
              <w:t>F – Construction</w:t>
            </w:r>
          </w:p>
        </w:tc>
        <w:tc>
          <w:tcPr>
            <w:tcW w:w="2750" w:type="pct"/>
            <w:vMerge w:val="restart"/>
            <w:tcBorders>
              <w:top w:val="single" w:sz="4" w:space="0" w:color="auto"/>
              <w:left w:val="single" w:sz="4" w:space="0" w:color="auto"/>
              <w:bottom w:val="single" w:sz="4" w:space="0" w:color="auto"/>
              <w:right w:val="single" w:sz="4" w:space="0" w:color="auto"/>
            </w:tcBorders>
            <w:hideMark/>
          </w:tcPr>
          <w:p w14:paraId="49BF249F" w14:textId="225EF6F8" w:rsidR="003D759F" w:rsidRPr="00AB372F" w:rsidRDefault="003D759F">
            <w:pPr>
              <w:spacing w:before="20" w:after="20" w:line="210" w:lineRule="atLeast"/>
              <w:jc w:val="both"/>
              <w:rPr>
                <w:rFonts w:ascii="Calibri" w:hAnsi="Calibri"/>
                <w:sz w:val="20"/>
                <w:szCs w:val="20"/>
              </w:rPr>
            </w:pPr>
            <w:r w:rsidRPr="00AB372F">
              <w:rPr>
                <w:rFonts w:ascii="Calibri" w:hAnsi="Calibri"/>
                <w:sz w:val="20"/>
                <w:szCs w:val="20"/>
              </w:rPr>
              <w:t xml:space="preserve">Low emission buildings and substantive energy efficiency improvements </w:t>
            </w:r>
          </w:p>
        </w:tc>
      </w:tr>
      <w:tr w:rsidR="003D759F" w14:paraId="5AC5C9E9" w14:textId="77777777" w:rsidTr="008C7004">
        <w:tc>
          <w:tcPr>
            <w:tcW w:w="2250" w:type="pct"/>
            <w:tcBorders>
              <w:top w:val="single" w:sz="4" w:space="0" w:color="auto"/>
              <w:left w:val="single" w:sz="4" w:space="0" w:color="auto"/>
              <w:bottom w:val="single" w:sz="4" w:space="0" w:color="auto"/>
              <w:right w:val="single" w:sz="4" w:space="0" w:color="auto"/>
            </w:tcBorders>
            <w:hideMark/>
          </w:tcPr>
          <w:p w14:paraId="4B083464" w14:textId="77777777" w:rsidR="003D759F" w:rsidRDefault="003D759F">
            <w:pPr>
              <w:spacing w:before="20" w:after="20" w:line="210" w:lineRule="atLeast"/>
              <w:jc w:val="both"/>
              <w:rPr>
                <w:sz w:val="20"/>
                <w:szCs w:val="20"/>
                <w:lang w:eastAsia="en-GB"/>
              </w:rPr>
            </w:pPr>
            <w:r>
              <w:rPr>
                <w:sz w:val="20"/>
                <w:szCs w:val="20"/>
                <w:lang w:eastAsia="en-GB"/>
              </w:rPr>
              <w:t>L - Real estate activities</w:t>
            </w:r>
          </w:p>
        </w:tc>
        <w:tc>
          <w:tcPr>
            <w:tcW w:w="2750" w:type="pct"/>
            <w:vMerge/>
            <w:tcBorders>
              <w:top w:val="single" w:sz="4" w:space="0" w:color="auto"/>
              <w:left w:val="single" w:sz="4" w:space="0" w:color="auto"/>
              <w:bottom w:val="single" w:sz="4" w:space="0" w:color="auto"/>
              <w:right w:val="single" w:sz="4" w:space="0" w:color="auto"/>
            </w:tcBorders>
            <w:vAlign w:val="center"/>
            <w:hideMark/>
          </w:tcPr>
          <w:p w14:paraId="14CEC0C4" w14:textId="77777777" w:rsidR="003D759F" w:rsidRDefault="003D759F">
            <w:pPr>
              <w:spacing w:after="0" w:line="240" w:lineRule="auto"/>
              <w:rPr>
                <w:rFonts w:ascii="Calibri" w:hAnsi="Calibri"/>
                <w:sz w:val="20"/>
                <w:szCs w:val="20"/>
              </w:rPr>
            </w:pPr>
          </w:p>
        </w:tc>
      </w:tr>
    </w:tbl>
    <w:p w14:paraId="2E958B55" w14:textId="77777777" w:rsidR="008C7004" w:rsidRDefault="008C7004" w:rsidP="003D759F">
      <w:pPr>
        <w:spacing w:line="210" w:lineRule="atLeast"/>
        <w:jc w:val="both"/>
        <w:rPr>
          <w:rFonts w:ascii="Calibri" w:eastAsia="Times New Roman" w:hAnsi="Calibri" w:cs="Times New Roman"/>
          <w:b/>
          <w:color w:val="000000"/>
          <w:lang w:eastAsia="en-GB"/>
        </w:rPr>
      </w:pPr>
    </w:p>
    <w:p w14:paraId="57550848" w14:textId="3A0F115F" w:rsidR="003D759F" w:rsidRDefault="003D759F" w:rsidP="003D759F">
      <w:pPr>
        <w:spacing w:line="210" w:lineRule="atLeast"/>
        <w:jc w:val="both"/>
        <w:rPr>
          <w:rFonts w:ascii="Calibri" w:eastAsia="Times New Roman" w:hAnsi="Calibri" w:cs="Times New Roman"/>
          <w:b/>
          <w:color w:val="000000"/>
          <w:lang w:eastAsia="en-GB"/>
        </w:rPr>
      </w:pPr>
      <w:r>
        <w:rPr>
          <w:rFonts w:ascii="Calibri" w:eastAsia="Times New Roman" w:hAnsi="Calibri" w:cs="Times New Roman"/>
          <w:b/>
          <w:color w:val="000000"/>
          <w:lang w:eastAsia="en-GB"/>
        </w:rPr>
        <w:t>Next steps</w:t>
      </w:r>
    </w:p>
    <w:p w14:paraId="4FA47748" w14:textId="0765F0FE" w:rsidR="00267B69" w:rsidRPr="009505A6" w:rsidRDefault="006234A8" w:rsidP="00267B69">
      <w:pPr>
        <w:pStyle w:val="Zwykytekst"/>
        <w:numPr>
          <w:ilvl w:val="0"/>
          <w:numId w:val="47"/>
        </w:numPr>
        <w:jc w:val="both"/>
      </w:pPr>
      <w:r>
        <w:rPr>
          <w:rFonts w:eastAsia="Times New Roman" w:cs="Times New Roman"/>
          <w:color w:val="000000"/>
          <w:lang w:eastAsia="en-GB"/>
        </w:rPr>
        <w:t>T</w:t>
      </w:r>
      <w:r w:rsidR="003D759F">
        <w:rPr>
          <w:rFonts w:eastAsia="Times New Roman" w:cs="Times New Roman"/>
          <w:color w:val="000000"/>
          <w:lang w:eastAsia="en-GB"/>
        </w:rPr>
        <w:t>echnical screening criteria</w:t>
      </w:r>
      <w:r w:rsidR="00E24E45">
        <w:rPr>
          <w:rFonts w:eastAsia="Times New Roman" w:cs="Times New Roman"/>
          <w:color w:val="000000"/>
          <w:lang w:eastAsia="en-GB"/>
        </w:rPr>
        <w:t xml:space="preserve"> </w:t>
      </w:r>
      <w:r w:rsidR="003D759F">
        <w:rPr>
          <w:rFonts w:eastAsia="Times New Roman" w:cs="Times New Roman"/>
          <w:color w:val="000000"/>
          <w:lang w:eastAsia="en-GB"/>
        </w:rPr>
        <w:t>will be proposed for</w:t>
      </w:r>
      <w:r w:rsidR="00E24E45">
        <w:rPr>
          <w:rFonts w:eastAsia="Times New Roman" w:cs="Times New Roman"/>
          <w:color w:val="000000"/>
          <w:lang w:eastAsia="en-GB"/>
        </w:rPr>
        <w:t xml:space="preserve"> </w:t>
      </w:r>
      <w:r w:rsidR="003D759F">
        <w:rPr>
          <w:rFonts w:eastAsia="Times New Roman" w:cs="Times New Roman"/>
          <w:color w:val="000000"/>
          <w:lang w:eastAsia="en-GB"/>
        </w:rPr>
        <w:t>sectors and sub-sectors</w:t>
      </w:r>
      <w:r w:rsidR="00E24E45">
        <w:rPr>
          <w:rFonts w:eastAsia="Times New Roman" w:cs="Times New Roman"/>
          <w:color w:val="000000"/>
          <w:lang w:eastAsia="en-GB"/>
        </w:rPr>
        <w:t xml:space="preserve"> in the priority list</w:t>
      </w:r>
      <w:r>
        <w:rPr>
          <w:rFonts w:eastAsia="Times New Roman" w:cs="Times New Roman"/>
          <w:color w:val="000000"/>
          <w:lang w:eastAsia="en-GB"/>
        </w:rPr>
        <w:t>,</w:t>
      </w:r>
      <w:r w:rsidR="003D759F">
        <w:rPr>
          <w:rFonts w:eastAsia="Times New Roman" w:cs="Times New Roman"/>
          <w:color w:val="000000"/>
          <w:lang w:eastAsia="en-GB"/>
        </w:rPr>
        <w:t xml:space="preserve"> build</w:t>
      </w:r>
      <w:r w:rsidR="008C7004">
        <w:rPr>
          <w:rFonts w:eastAsia="Times New Roman" w:cs="Times New Roman"/>
          <w:color w:val="000000"/>
          <w:lang w:eastAsia="en-GB"/>
        </w:rPr>
        <w:t>ing</w:t>
      </w:r>
      <w:r w:rsidR="003D759F">
        <w:rPr>
          <w:rFonts w:eastAsia="Times New Roman" w:cs="Times New Roman"/>
          <w:color w:val="000000"/>
          <w:lang w:eastAsia="en-GB"/>
        </w:rPr>
        <w:t xml:space="preserve"> </w:t>
      </w:r>
      <w:r>
        <w:rPr>
          <w:rFonts w:eastAsia="Times New Roman" w:cs="Times New Roman"/>
          <w:color w:val="000000"/>
          <w:lang w:eastAsia="en-GB"/>
        </w:rPr>
        <w:t>on</w:t>
      </w:r>
      <w:r w:rsidR="003D759F">
        <w:rPr>
          <w:rFonts w:eastAsia="Times New Roman" w:cs="Times New Roman"/>
          <w:color w:val="000000"/>
          <w:lang w:eastAsia="en-GB"/>
        </w:rPr>
        <w:t xml:space="preserve"> other existing </w:t>
      </w:r>
      <w:r>
        <w:rPr>
          <w:rFonts w:eastAsia="Times New Roman" w:cs="Times New Roman"/>
          <w:color w:val="000000"/>
          <w:lang w:eastAsia="en-GB"/>
        </w:rPr>
        <w:t>taxonomies</w:t>
      </w:r>
      <w:r w:rsidR="00C9723A">
        <w:rPr>
          <w:rFonts w:eastAsia="Times New Roman" w:cs="Times New Roman"/>
          <w:color w:val="000000"/>
          <w:lang w:eastAsia="en-GB"/>
        </w:rPr>
        <w:t xml:space="preserve"> currently</w:t>
      </w:r>
      <w:r>
        <w:rPr>
          <w:rFonts w:eastAsia="Times New Roman" w:cs="Times New Roman"/>
          <w:color w:val="000000"/>
          <w:lang w:eastAsia="en-GB"/>
        </w:rPr>
        <w:t xml:space="preserve"> </w:t>
      </w:r>
      <w:r w:rsidR="003D759F">
        <w:rPr>
          <w:rFonts w:eastAsia="Times New Roman" w:cs="Times New Roman"/>
          <w:color w:val="000000"/>
          <w:lang w:eastAsia="en-GB"/>
        </w:rPr>
        <w:t>used in the market</w:t>
      </w:r>
      <w:r w:rsidR="00E24E45">
        <w:rPr>
          <w:rFonts w:eastAsia="Times New Roman" w:cs="Times New Roman"/>
          <w:color w:val="000000"/>
          <w:lang w:eastAsia="en-GB"/>
        </w:rPr>
        <w:t>.</w:t>
      </w:r>
    </w:p>
    <w:p w14:paraId="34BACE7F" w14:textId="77777777" w:rsidR="00267B69" w:rsidRDefault="00267B69" w:rsidP="009505A6">
      <w:pPr>
        <w:pStyle w:val="Zwykytekst"/>
        <w:ind w:left="720"/>
        <w:jc w:val="both"/>
      </w:pPr>
    </w:p>
    <w:p w14:paraId="4008E205" w14:textId="23166B04" w:rsidR="003D759F" w:rsidRPr="00C9723A" w:rsidRDefault="00C9723A" w:rsidP="002A5A2D">
      <w:pPr>
        <w:pStyle w:val="Zwykytekst"/>
        <w:numPr>
          <w:ilvl w:val="0"/>
          <w:numId w:val="47"/>
        </w:numPr>
        <w:jc w:val="both"/>
      </w:pPr>
      <w:r w:rsidRPr="00C9723A">
        <w:rPr>
          <w:rFonts w:eastAsia="Times New Roman" w:cs="Times New Roman"/>
          <w:color w:val="000000"/>
          <w:lang w:eastAsia="en-GB"/>
        </w:rPr>
        <w:t>TE</w:t>
      </w:r>
      <w:r w:rsidR="008E0B49" w:rsidRPr="00C9723A">
        <w:rPr>
          <w:rFonts w:eastAsia="Times New Roman" w:cs="Times New Roman"/>
          <w:color w:val="000000"/>
          <w:lang w:eastAsia="en-GB"/>
        </w:rPr>
        <w:t>G will also extend the first priority list by identifying</w:t>
      </w:r>
      <w:r w:rsidR="008E0B49" w:rsidRPr="00C9723A">
        <w:rPr>
          <w:rFonts w:eastAsia="Times New Roman"/>
          <w:color w:val="000000"/>
          <w:lang w:eastAsia="en-GB"/>
        </w:rPr>
        <w:t xml:space="preserve"> other sectors</w:t>
      </w:r>
      <w:r w:rsidR="008E0B49" w:rsidRPr="00C9723A">
        <w:rPr>
          <w:rFonts w:eastAsia="Times New Roman" w:cs="Times New Roman"/>
          <w:color w:val="000000"/>
          <w:lang w:eastAsia="en-GB"/>
        </w:rPr>
        <w:t>/sub-sector</w:t>
      </w:r>
      <w:r w:rsidR="008E0B49" w:rsidRPr="00C9723A">
        <w:rPr>
          <w:rFonts w:eastAsia="Times New Roman"/>
          <w:color w:val="000000"/>
          <w:lang w:eastAsia="en-GB"/>
        </w:rPr>
        <w:t xml:space="preserve"> within </w:t>
      </w:r>
      <w:r w:rsidR="008E0B49" w:rsidRPr="00C9723A">
        <w:rPr>
          <w:rFonts w:eastAsia="Times New Roman" w:cs="Times New Roman"/>
          <w:color w:val="000000"/>
          <w:lang w:eastAsia="en-GB"/>
        </w:rPr>
        <w:t>the six</w:t>
      </w:r>
      <w:r w:rsidR="008E0B49" w:rsidRPr="00C9723A">
        <w:rPr>
          <w:rFonts w:eastAsia="Times New Roman"/>
          <w:color w:val="000000"/>
          <w:lang w:eastAsia="en-GB"/>
        </w:rPr>
        <w:t xml:space="preserve"> NACE </w:t>
      </w:r>
      <w:r w:rsidR="008E0B49" w:rsidRPr="00C9723A">
        <w:rPr>
          <w:rFonts w:eastAsia="Times New Roman" w:cs="Times New Roman"/>
          <w:color w:val="000000"/>
          <w:lang w:eastAsia="en-GB"/>
        </w:rPr>
        <w:t>macro-</w:t>
      </w:r>
      <w:r w:rsidR="008E0B49" w:rsidRPr="00C9723A">
        <w:rPr>
          <w:rFonts w:eastAsia="Times New Roman"/>
          <w:color w:val="000000"/>
          <w:lang w:eastAsia="en-GB"/>
        </w:rPr>
        <w:t xml:space="preserve">sectors. </w:t>
      </w:r>
      <w:r>
        <w:rPr>
          <w:rFonts w:eastAsia="Times New Roman"/>
          <w:color w:val="000000"/>
          <w:lang w:eastAsia="en-GB"/>
        </w:rPr>
        <w:t>This</w:t>
      </w:r>
      <w:r w:rsidR="007D6704">
        <w:rPr>
          <w:rFonts w:eastAsia="Times New Roman"/>
          <w:color w:val="000000"/>
          <w:lang w:eastAsia="en-GB"/>
        </w:rPr>
        <w:t xml:space="preserve"> will be part of a second phase and could benefit from MSEG </w:t>
      </w:r>
      <w:r w:rsidR="0040702C">
        <w:rPr>
          <w:rFonts w:eastAsia="Times New Roman"/>
          <w:color w:val="000000"/>
          <w:lang w:eastAsia="en-GB"/>
        </w:rPr>
        <w:t>view and</w:t>
      </w:r>
      <w:r w:rsidR="007D6704">
        <w:rPr>
          <w:rFonts w:eastAsia="Times New Roman"/>
          <w:color w:val="000000"/>
          <w:lang w:eastAsia="en-GB"/>
        </w:rPr>
        <w:t xml:space="preserve"> consensus on how the list </w:t>
      </w:r>
      <w:r w:rsidR="0040702C">
        <w:rPr>
          <w:rFonts w:eastAsia="Times New Roman"/>
          <w:color w:val="000000"/>
          <w:lang w:eastAsia="en-GB"/>
        </w:rPr>
        <w:t>should</w:t>
      </w:r>
      <w:r w:rsidR="007D6704">
        <w:rPr>
          <w:rFonts w:eastAsia="Times New Roman"/>
          <w:color w:val="000000"/>
          <w:lang w:eastAsia="en-GB"/>
        </w:rPr>
        <w:t xml:space="preserve"> be expanded </w:t>
      </w:r>
      <w:r w:rsidR="0040702C">
        <w:rPr>
          <w:rFonts w:eastAsia="Times New Roman"/>
          <w:color w:val="000000"/>
          <w:lang w:eastAsia="en-GB"/>
        </w:rPr>
        <w:t>within the mandate of the TEG</w:t>
      </w:r>
      <w:r w:rsidR="007D6704">
        <w:rPr>
          <w:rFonts w:eastAsia="Times New Roman"/>
          <w:color w:val="000000"/>
          <w:lang w:eastAsia="en-GB"/>
        </w:rPr>
        <w:t xml:space="preserve"> (see section 6 below).</w:t>
      </w:r>
    </w:p>
    <w:p w14:paraId="4B0EDDF8" w14:textId="77777777" w:rsidR="00C9723A" w:rsidRDefault="00C9723A" w:rsidP="00C9723A">
      <w:pPr>
        <w:pStyle w:val="Zwykytekst"/>
        <w:ind w:left="360"/>
        <w:jc w:val="both"/>
      </w:pPr>
    </w:p>
    <w:p w14:paraId="6101C537" w14:textId="60D0B054" w:rsidR="0041121B" w:rsidRDefault="00925CC2" w:rsidP="002A5A2D">
      <w:pPr>
        <w:pStyle w:val="Nagwek3"/>
        <w:numPr>
          <w:ilvl w:val="0"/>
          <w:numId w:val="9"/>
        </w:numPr>
        <w:jc w:val="both"/>
      </w:pPr>
      <w:bookmarkStart w:id="8" w:name="_Toc525115757"/>
      <w:r>
        <w:t>Climate a</w:t>
      </w:r>
      <w:r w:rsidR="0041121B">
        <w:t>daptation</w:t>
      </w:r>
      <w:bookmarkEnd w:id="8"/>
      <w:r>
        <w:t xml:space="preserve"> economic activities</w:t>
      </w:r>
    </w:p>
    <w:p w14:paraId="1BF7C9F1" w14:textId="75B6D0A2" w:rsidR="0041121B" w:rsidRDefault="00257079" w:rsidP="002A5A2D">
      <w:pPr>
        <w:pStyle w:val="Zwykytekst"/>
        <w:jc w:val="both"/>
      </w:pPr>
      <w:r>
        <w:t>The group has clarified</w:t>
      </w:r>
      <w:r w:rsidR="0041121B">
        <w:t xml:space="preserve"> key concepts and developed initial proposals for an assessment approach</w:t>
      </w:r>
      <w:r w:rsidR="009E1BA9">
        <w:t xml:space="preserve"> by</w:t>
      </w:r>
      <w:r w:rsidR="00886C76">
        <w:t xml:space="preserve"> </w:t>
      </w:r>
      <w:r w:rsidR="0041121B">
        <w:t>undertak</w:t>
      </w:r>
      <w:r w:rsidR="00886C76">
        <w:t>ing</w:t>
      </w:r>
      <w:r w:rsidR="0041121B">
        <w:t xml:space="preserve"> a stock take of </w:t>
      </w:r>
      <w:r w:rsidR="009E1BA9">
        <w:t xml:space="preserve">economic activities contributing to </w:t>
      </w:r>
      <w:r w:rsidR="0041121B">
        <w:t xml:space="preserve">adaptation, building from the HLEG Taxonomy and other sources including (but not limited to) analysis by the Intergovernmental Panel on Climate Change (IPCC), the World Bank, the UN Environment Programme and the Private Infrastructure Development Group (PIDG). The group has also conducted an initial stock take of approaches taken by financial institutions. </w:t>
      </w:r>
    </w:p>
    <w:p w14:paraId="0C0AD8CD" w14:textId="77777777" w:rsidR="0041121B" w:rsidRDefault="0041121B" w:rsidP="002A5A2D">
      <w:pPr>
        <w:pStyle w:val="Zwykytekst"/>
        <w:jc w:val="both"/>
      </w:pPr>
    </w:p>
    <w:p w14:paraId="49B191AC" w14:textId="77777777" w:rsidR="008E0B49" w:rsidRDefault="008E0B49" w:rsidP="008E0B49">
      <w:pPr>
        <w:pStyle w:val="Zwykytekst"/>
        <w:jc w:val="both"/>
      </w:pPr>
      <w:r>
        <w:t xml:space="preserve">Discussions to date have emphasised the importance of contextual and location specific information for assessing adaptation activities as well as climate resilience building for the purpose of adapting to climate change as an intent for activities undertaken. </w:t>
      </w:r>
    </w:p>
    <w:p w14:paraId="0CC01154" w14:textId="77777777" w:rsidR="002453EB" w:rsidRDefault="002453EB" w:rsidP="002A5A2D">
      <w:pPr>
        <w:pStyle w:val="Zwykytekst"/>
        <w:jc w:val="both"/>
      </w:pPr>
    </w:p>
    <w:p w14:paraId="3F65793D" w14:textId="77777777" w:rsidR="002453EB" w:rsidRPr="002453EB" w:rsidRDefault="002453EB" w:rsidP="002A5A2D">
      <w:pPr>
        <w:pStyle w:val="Zwykytekst"/>
        <w:jc w:val="both"/>
        <w:rPr>
          <w:b/>
        </w:rPr>
      </w:pPr>
      <w:r w:rsidRPr="002453EB">
        <w:rPr>
          <w:b/>
        </w:rPr>
        <w:t>Next steps</w:t>
      </w:r>
    </w:p>
    <w:p w14:paraId="32E8FC11" w14:textId="1553D937" w:rsidR="002453EB" w:rsidRDefault="002453EB" w:rsidP="002A5A2D">
      <w:pPr>
        <w:pStyle w:val="Zwykytekst"/>
        <w:numPr>
          <w:ilvl w:val="0"/>
          <w:numId w:val="37"/>
        </w:numPr>
        <w:jc w:val="both"/>
      </w:pPr>
      <w:r>
        <w:t xml:space="preserve">Further work is needed to agree a methodology for identifying </w:t>
      </w:r>
      <w:r w:rsidR="00DE29BA">
        <w:t>economic activities delivering on the climate adaptation objective</w:t>
      </w:r>
      <w:r>
        <w:t xml:space="preserve">. </w:t>
      </w:r>
    </w:p>
    <w:p w14:paraId="2F1AE906" w14:textId="77777777" w:rsidR="0041121B" w:rsidRDefault="0041121B" w:rsidP="002A5A2D">
      <w:pPr>
        <w:pStyle w:val="Zwykytekst"/>
        <w:jc w:val="both"/>
      </w:pPr>
    </w:p>
    <w:p w14:paraId="366A64A5" w14:textId="21C35A1C" w:rsidR="00A424D3" w:rsidRDefault="00886C76" w:rsidP="002A5A2D">
      <w:pPr>
        <w:pStyle w:val="Nagwek2"/>
        <w:jc w:val="both"/>
      </w:pPr>
      <w:bookmarkStart w:id="9" w:name="_Toc525115758"/>
      <w:r>
        <w:t xml:space="preserve">Technical screening criteria </w:t>
      </w:r>
      <w:bookmarkEnd w:id="9"/>
    </w:p>
    <w:p w14:paraId="5B694C91" w14:textId="77777777" w:rsidR="000A4B17" w:rsidRDefault="000A4B17" w:rsidP="002A5A2D">
      <w:pPr>
        <w:jc w:val="both"/>
      </w:pPr>
    </w:p>
    <w:p w14:paraId="2AA3E323" w14:textId="0AB84CDC" w:rsidR="002E7C57" w:rsidRDefault="002E7C57" w:rsidP="002A5A2D">
      <w:pPr>
        <w:jc w:val="both"/>
      </w:pPr>
      <w:r>
        <w:t xml:space="preserve">The group has been tasked with developing its thinking around </w:t>
      </w:r>
      <w:r w:rsidR="00886C76">
        <w:t>technical screening criteria</w:t>
      </w:r>
      <w:r w:rsidR="00925CC2">
        <w:t xml:space="preserve"> that would </w:t>
      </w:r>
      <w:r w:rsidR="008D0AC5">
        <w:t>operationalize</w:t>
      </w:r>
      <w:r w:rsidR="00925CC2">
        <w:t xml:space="preserve"> "substantial contribution" as well as the "</w:t>
      </w:r>
      <w:r>
        <w:t>no</w:t>
      </w:r>
      <w:r w:rsidR="00925CC2">
        <w:t xml:space="preserve"> significant harm"</w:t>
      </w:r>
      <w:r>
        <w:t xml:space="preserve"> </w:t>
      </w:r>
      <w:r w:rsidR="00925CC2">
        <w:t>principles</w:t>
      </w:r>
      <w:r w:rsidR="008D0AC5">
        <w:t xml:space="preserve"> as foreseen in the Taxonomy Regulation and in line with Article 14 therein</w:t>
      </w:r>
      <w:r w:rsidR="00925CC2">
        <w:t>.</w:t>
      </w:r>
      <w:r>
        <w:t xml:space="preserve"> </w:t>
      </w:r>
    </w:p>
    <w:p w14:paraId="6C4D7D58" w14:textId="18AE38B1" w:rsidR="002E7C57" w:rsidRDefault="002E7C57" w:rsidP="002A5A2D">
      <w:pPr>
        <w:pStyle w:val="Nagwek3"/>
        <w:numPr>
          <w:ilvl w:val="0"/>
          <w:numId w:val="38"/>
        </w:numPr>
        <w:jc w:val="both"/>
      </w:pPr>
      <w:bookmarkStart w:id="10" w:name="_Ref524957843"/>
      <w:bookmarkStart w:id="11" w:name="_Ref524958079"/>
      <w:bookmarkStart w:id="12" w:name="_Toc525115759"/>
      <w:r w:rsidRPr="0001363F">
        <w:t>T</w:t>
      </w:r>
      <w:r w:rsidR="00886C76">
        <w:t>echnical screening criteria</w:t>
      </w:r>
      <w:bookmarkEnd w:id="10"/>
      <w:bookmarkEnd w:id="11"/>
      <w:bookmarkEnd w:id="12"/>
      <w:r w:rsidR="00D03879">
        <w:t xml:space="preserve"> to define </w:t>
      </w:r>
      <w:r w:rsidR="008D0AC5">
        <w:t>"</w:t>
      </w:r>
      <w:r w:rsidR="00D03879">
        <w:t>substantial contribution</w:t>
      </w:r>
      <w:r w:rsidR="008D0AC5">
        <w:t>"</w:t>
      </w:r>
    </w:p>
    <w:p w14:paraId="73CE8BAE" w14:textId="7B817B05" w:rsidR="002453EB" w:rsidRDefault="00D8106B" w:rsidP="002A5A2D">
      <w:pPr>
        <w:jc w:val="both"/>
        <w:rPr>
          <w:i/>
        </w:rPr>
      </w:pPr>
      <w:r>
        <w:t xml:space="preserve">The group is examining </w:t>
      </w:r>
      <w:r w:rsidR="00826316">
        <w:t xml:space="preserve">different </w:t>
      </w:r>
      <w:r w:rsidR="00416F54">
        <w:t>types of</w:t>
      </w:r>
      <w:r w:rsidR="000A15AE">
        <w:t xml:space="preserve"> technical screening criteria (including</w:t>
      </w:r>
      <w:r w:rsidR="00416F54">
        <w:t xml:space="preserve"> thresholds</w:t>
      </w:r>
      <w:r w:rsidR="000A15AE">
        <w:t>)</w:t>
      </w:r>
      <w:r w:rsidR="00416F54">
        <w:t xml:space="preserve"> that exist </w:t>
      </w:r>
      <w:r w:rsidR="00826316">
        <w:t xml:space="preserve">taxonomies used in the market </w:t>
      </w:r>
      <w:r w:rsidR="00416F54">
        <w:t xml:space="preserve">and how these could be applied to support the </w:t>
      </w:r>
      <w:r w:rsidR="00826316">
        <w:t xml:space="preserve">EU </w:t>
      </w:r>
      <w:r w:rsidR="00416F54">
        <w:t>Taxonomy’s objective.</w:t>
      </w:r>
      <w:r w:rsidR="00B64175">
        <w:t xml:space="preserve"> </w:t>
      </w:r>
    </w:p>
    <w:p w14:paraId="55D19602" w14:textId="77777777" w:rsidR="006C3DFD" w:rsidRDefault="00D93B93" w:rsidP="002A5A2D">
      <w:pPr>
        <w:jc w:val="both"/>
      </w:pPr>
      <w:r>
        <w:lastRenderedPageBreak/>
        <w:t xml:space="preserve">Two categories of </w:t>
      </w:r>
      <w:r w:rsidR="000A15AE">
        <w:t xml:space="preserve">technical screening criteria </w:t>
      </w:r>
      <w:r>
        <w:t xml:space="preserve">are envisaged: </w:t>
      </w:r>
    </w:p>
    <w:p w14:paraId="6474B80C" w14:textId="4DF3A273" w:rsidR="006C3DFD" w:rsidRDefault="006C3DFD" w:rsidP="00886C76">
      <w:pPr>
        <w:pStyle w:val="Akapitzlist"/>
        <w:numPr>
          <w:ilvl w:val="0"/>
          <w:numId w:val="25"/>
        </w:numPr>
        <w:jc w:val="both"/>
      </w:pPr>
      <w:r>
        <w:t>Quantitative indicators</w:t>
      </w:r>
      <w:r w:rsidR="000A15AE">
        <w:t xml:space="preserve"> i.e. "thresholds</w:t>
      </w:r>
      <w:r w:rsidR="00E470BC">
        <w:rPr>
          <w:rStyle w:val="Odwoanieprzypisudolnego"/>
        </w:rPr>
        <w:footnoteReference w:id="10"/>
      </w:r>
      <w:r w:rsidR="000A15AE">
        <w:t>"</w:t>
      </w:r>
      <w:r w:rsidR="000B0D61">
        <w:t xml:space="preserve">. </w:t>
      </w:r>
      <w:r w:rsidR="00C36BBC">
        <w:t>Where feasible</w:t>
      </w:r>
      <w:r w:rsidR="00E35539">
        <w:t xml:space="preserve">, quantitative indicators </w:t>
      </w:r>
      <w:r w:rsidR="00BB4CE4">
        <w:t>will be defined</w:t>
      </w:r>
      <w:r w:rsidR="00E35539">
        <w:t xml:space="preserve">. </w:t>
      </w:r>
    </w:p>
    <w:p w14:paraId="6F9B5B4B" w14:textId="625B8539" w:rsidR="006C3DFD" w:rsidRDefault="006C3DFD" w:rsidP="00886C76">
      <w:pPr>
        <w:pStyle w:val="Akapitzlist"/>
        <w:numPr>
          <w:ilvl w:val="0"/>
          <w:numId w:val="25"/>
        </w:numPr>
        <w:jc w:val="both"/>
      </w:pPr>
      <w:r>
        <w:t>Qual</w:t>
      </w:r>
      <w:r w:rsidR="00F8286A">
        <w:t xml:space="preserve">itative indicators / principles. These may be useful where data is limited or where </w:t>
      </w:r>
      <w:r w:rsidR="00312B3A">
        <w:t xml:space="preserve">adaptive policies </w:t>
      </w:r>
      <w:r w:rsidR="00F8286A">
        <w:t>are required</w:t>
      </w:r>
      <w:r w:rsidR="00AE488C">
        <w:t>, for example because activities and their impacts are location or scale sensitive</w:t>
      </w:r>
      <w:r w:rsidR="00F8286A">
        <w:t xml:space="preserve">. </w:t>
      </w:r>
    </w:p>
    <w:p w14:paraId="360A2F3A" w14:textId="54FF5DED" w:rsidR="007971CA" w:rsidRDefault="006247F2" w:rsidP="00886C76">
      <w:pPr>
        <w:jc w:val="both"/>
      </w:pPr>
      <w:r>
        <w:t xml:space="preserve">Depending on the sector, </w:t>
      </w:r>
      <w:r w:rsidR="00AB372F">
        <w:t>technical screening criteria</w:t>
      </w:r>
      <w:r>
        <w:t xml:space="preserve"> selected </w:t>
      </w:r>
      <w:r w:rsidR="00D8106B" w:rsidRPr="00D8106B">
        <w:t xml:space="preserve">may be quantitative, qualitative or </w:t>
      </w:r>
      <w:r>
        <w:t xml:space="preserve">both in </w:t>
      </w:r>
      <w:r w:rsidR="00AE4E61">
        <w:t>combination</w:t>
      </w:r>
      <w:r w:rsidR="00524B01">
        <w:t>: t</w:t>
      </w:r>
      <w:r w:rsidR="00BF4EC6">
        <w:t xml:space="preserve">hese issues will be considered in greater detail during the next phase of Taxonomy work. </w:t>
      </w:r>
      <w:r>
        <w:t xml:space="preserve"> </w:t>
      </w:r>
    </w:p>
    <w:p w14:paraId="3FC29BF6" w14:textId="63C33ED6" w:rsidR="00132B72" w:rsidRDefault="00132B72" w:rsidP="00886C76">
      <w:pPr>
        <w:jc w:val="both"/>
      </w:pPr>
      <w:r>
        <w:t>Th</w:t>
      </w:r>
      <w:r w:rsidR="00334386">
        <w:t xml:space="preserve">e group is also considering how to incorporate </w:t>
      </w:r>
      <w:r>
        <w:t>top down thresholds (e</w:t>
      </w:r>
      <w:r w:rsidR="00524B01">
        <w:t>.</w:t>
      </w:r>
      <w:r>
        <w:t>g.</w:t>
      </w:r>
      <w:r w:rsidR="00A17102">
        <w:t xml:space="preserve"> thresholds for mitigation activities that drive</w:t>
      </w:r>
      <w:r>
        <w:t xml:space="preserve"> decarbonisation pathways to meet the Paris Agreement) vs. bottom up thresholds (e</w:t>
      </w:r>
      <w:r w:rsidR="00524B01">
        <w:t>.</w:t>
      </w:r>
      <w:r>
        <w:t xml:space="preserve">g. a threshold based on best in class or best available technologies). </w:t>
      </w:r>
    </w:p>
    <w:p w14:paraId="27E608AE" w14:textId="77777777" w:rsidR="002453EB" w:rsidRPr="002453EB" w:rsidRDefault="002453EB" w:rsidP="00886C76">
      <w:pPr>
        <w:jc w:val="both"/>
        <w:rPr>
          <w:b/>
        </w:rPr>
      </w:pPr>
      <w:r w:rsidRPr="002453EB">
        <w:rPr>
          <w:b/>
        </w:rPr>
        <w:t>Next steps</w:t>
      </w:r>
    </w:p>
    <w:p w14:paraId="3EE7CCA9" w14:textId="544E8D9A" w:rsidR="008C4293" w:rsidRPr="008C4293" w:rsidRDefault="006234A8" w:rsidP="00886C76">
      <w:pPr>
        <w:pStyle w:val="Akapitzlist"/>
        <w:numPr>
          <w:ilvl w:val="0"/>
          <w:numId w:val="36"/>
        </w:numPr>
        <w:jc w:val="both"/>
      </w:pPr>
      <w:r>
        <w:t>These considerations</w:t>
      </w:r>
      <w:r w:rsidR="002453EB">
        <w:t xml:space="preserve"> will inform the</w:t>
      </w:r>
      <w:r w:rsidR="00E470BC">
        <w:t xml:space="preserve"> establishment of technical screening criteria including the</w:t>
      </w:r>
      <w:r w:rsidR="002453EB">
        <w:t xml:space="preserve"> </w:t>
      </w:r>
      <w:r w:rsidR="00E470BC">
        <w:t xml:space="preserve">setting </w:t>
      </w:r>
      <w:r w:rsidR="002453EB">
        <w:t>of thresholds</w:t>
      </w:r>
      <w:r w:rsidR="00D61C4C">
        <w:t xml:space="preserve"> for those economic activities analysed as part of</w:t>
      </w:r>
      <w:r w:rsidR="002453EB">
        <w:t xml:space="preserve"> </w:t>
      </w:r>
      <w:r w:rsidR="00D61C4C">
        <w:t xml:space="preserve">the first </w:t>
      </w:r>
      <w:r w:rsidR="002453EB">
        <w:t>priority sectors</w:t>
      </w:r>
      <w:r w:rsidR="00D61C4C">
        <w:t xml:space="preserve"> list</w:t>
      </w:r>
      <w:r w:rsidR="002453EB">
        <w:t xml:space="preserve">. </w:t>
      </w:r>
    </w:p>
    <w:p w14:paraId="5DA333E1" w14:textId="66CD5067" w:rsidR="003B2028" w:rsidRDefault="00D03879" w:rsidP="002A5A2D">
      <w:pPr>
        <w:pStyle w:val="Nagwek3"/>
        <w:jc w:val="both"/>
      </w:pPr>
      <w:bookmarkStart w:id="13" w:name="_Toc525115760"/>
      <w:r>
        <w:t xml:space="preserve">Technical screening criteria to define </w:t>
      </w:r>
      <w:r w:rsidR="008D0AC5">
        <w:t>"</w:t>
      </w:r>
      <w:r w:rsidR="003B2028">
        <w:t>no</w:t>
      </w:r>
      <w:r w:rsidR="00257079">
        <w:t xml:space="preserve"> significant</w:t>
      </w:r>
      <w:r w:rsidR="003B2028">
        <w:t xml:space="preserve"> harm</w:t>
      </w:r>
      <w:r w:rsidR="008D0AC5">
        <w:t>"</w:t>
      </w:r>
      <w:bookmarkEnd w:id="13"/>
      <w:r w:rsidR="003B2028">
        <w:t xml:space="preserve"> </w:t>
      </w:r>
    </w:p>
    <w:p w14:paraId="590A1953" w14:textId="05CC804D" w:rsidR="008B5D0C" w:rsidRDefault="006234A8" w:rsidP="002A5A2D">
      <w:pPr>
        <w:spacing w:line="264" w:lineRule="auto"/>
        <w:jc w:val="both"/>
      </w:pPr>
      <w:r>
        <w:t>Where a substantial contribution is made to one</w:t>
      </w:r>
      <w:r w:rsidR="00AE4E61">
        <w:t xml:space="preserve"> environmental</w:t>
      </w:r>
      <w:r>
        <w:t xml:space="preserve"> objective</w:t>
      </w:r>
      <w:r w:rsidR="00AE4E61">
        <w:t xml:space="preserve"> (say climate change mitigation)</w:t>
      </w:r>
      <w:r>
        <w:t>, t</w:t>
      </w:r>
      <w:r w:rsidR="00106C35">
        <w:t>he Taxonomy require</w:t>
      </w:r>
      <w:r>
        <w:t>s</w:t>
      </w:r>
      <w:r w:rsidR="00106C35">
        <w:t xml:space="preserve"> </w:t>
      </w:r>
      <w:r>
        <w:t>also</w:t>
      </w:r>
      <w:r w:rsidR="00106C35">
        <w:t xml:space="preserve"> to </w:t>
      </w:r>
      <w:r w:rsidR="00334386">
        <w:t>include</w:t>
      </w:r>
      <w:r w:rsidR="00A906CA">
        <w:t xml:space="preserve"> </w:t>
      </w:r>
      <w:r>
        <w:t xml:space="preserve">technical screening </w:t>
      </w:r>
      <w:r w:rsidR="00A906CA">
        <w:t>criteria</w:t>
      </w:r>
      <w:r w:rsidR="00106C35">
        <w:t xml:space="preserve"> to avoid significant harm to any of the </w:t>
      </w:r>
      <w:r>
        <w:t xml:space="preserve">other </w:t>
      </w:r>
      <w:r w:rsidR="00106C35">
        <w:t>environmental objectives</w:t>
      </w:r>
      <w:r w:rsidR="00106C35">
        <w:rPr>
          <w:rStyle w:val="Odwoanieprzypisudolnego"/>
        </w:rPr>
        <w:footnoteReference w:id="11"/>
      </w:r>
      <w:r>
        <w:t>.</w:t>
      </w:r>
      <w:r w:rsidR="003B63CE">
        <w:t xml:space="preserve"> </w:t>
      </w:r>
      <w:r w:rsidR="003A17E6">
        <w:t xml:space="preserve"> </w:t>
      </w:r>
    </w:p>
    <w:p w14:paraId="3C133FFC" w14:textId="65DF2548" w:rsidR="008C5267" w:rsidRPr="008C5267" w:rsidRDefault="00B9751C" w:rsidP="002A5A2D">
      <w:pPr>
        <w:spacing w:line="264" w:lineRule="auto"/>
        <w:jc w:val="both"/>
      </w:pPr>
      <w:r>
        <w:t xml:space="preserve">The underlying assumption is that the EU environmental </w:t>
      </w:r>
      <w:r w:rsidR="00E470BC">
        <w:t xml:space="preserve">legislation </w:t>
      </w:r>
      <w:r>
        <w:t xml:space="preserve">would apply and </w:t>
      </w:r>
      <w:r w:rsidR="009E029F">
        <w:t>as such</w:t>
      </w:r>
      <w:r>
        <w:t xml:space="preserve"> t</w:t>
      </w:r>
      <w:r w:rsidR="00A906CA" w:rsidRPr="001B45C0">
        <w:t xml:space="preserve">hese criteria </w:t>
      </w:r>
      <w:r>
        <w:t xml:space="preserve">will be established when there is a need to go beyond </w:t>
      </w:r>
      <w:r w:rsidR="00A906CA" w:rsidRPr="001B45C0">
        <w:t xml:space="preserve">minimum EU regulatory standards. </w:t>
      </w:r>
      <w:r>
        <w:t>In particular, t</w:t>
      </w:r>
      <w:r w:rsidR="008C5267" w:rsidRPr="001B45C0">
        <w:t xml:space="preserve">hey should </w:t>
      </w:r>
      <w:r w:rsidR="00A906CA" w:rsidRPr="001B45C0">
        <w:t>identify impact ‘hotspots’</w:t>
      </w:r>
      <w:r w:rsidR="009E029F">
        <w:t xml:space="preserve"> (relevant to the economic activity and envi</w:t>
      </w:r>
      <w:r w:rsidR="00BF5ADA">
        <w:t>ronmental objective considered)</w:t>
      </w:r>
      <w:r w:rsidR="00A906CA" w:rsidRPr="001B45C0">
        <w:t>, be relatively easy to describe and will have</w:t>
      </w:r>
      <w:r>
        <w:t>, when possible,</w:t>
      </w:r>
      <w:r w:rsidR="00A906CA" w:rsidRPr="001B45C0">
        <w:t xml:space="preserve"> appropriate thresholds in order that they are understood not only by the subject matter</w:t>
      </w:r>
      <w:r w:rsidR="00AE4E61">
        <w:t xml:space="preserve"> (i.e. environmental and sectorial)</w:t>
      </w:r>
      <w:r w:rsidR="00A906CA" w:rsidRPr="001B45C0">
        <w:t xml:space="preserve"> experts</w:t>
      </w:r>
      <w:r w:rsidR="00AE4E61">
        <w:t xml:space="preserve"> </w:t>
      </w:r>
      <w:r w:rsidR="00A906CA" w:rsidRPr="001B45C0">
        <w:t>, but also by the financial and investment community.</w:t>
      </w:r>
    </w:p>
    <w:p w14:paraId="498A7898" w14:textId="7C2797A3" w:rsidR="002C4D22" w:rsidRDefault="00AE488C" w:rsidP="002A5A2D">
      <w:pPr>
        <w:spacing w:after="0"/>
        <w:jc w:val="both"/>
      </w:pPr>
      <w:r>
        <w:t>Next steps</w:t>
      </w:r>
    </w:p>
    <w:p w14:paraId="15F1481F" w14:textId="1F1C5840" w:rsidR="00AE488C" w:rsidRDefault="00AE4E61" w:rsidP="009505A6">
      <w:pPr>
        <w:pStyle w:val="Akapitzlist"/>
        <w:numPr>
          <w:ilvl w:val="0"/>
          <w:numId w:val="36"/>
        </w:numPr>
        <w:spacing w:after="0"/>
        <w:jc w:val="both"/>
      </w:pPr>
      <w:r>
        <w:t>These considerations</w:t>
      </w:r>
      <w:r w:rsidR="00AE488C">
        <w:t xml:space="preserve"> will inform the formulation of technical screening criteria that ensure ‘no significant harm’ </w:t>
      </w:r>
      <w:r w:rsidR="00D61C4C">
        <w:t>for</w:t>
      </w:r>
      <w:r w:rsidR="00AE488C">
        <w:t xml:space="preserve"> th</w:t>
      </w:r>
      <w:r w:rsidR="00D61C4C">
        <w:t>ose economic</w:t>
      </w:r>
      <w:r w:rsidR="00AE488C">
        <w:t xml:space="preserve"> activities analysed as part of the</w:t>
      </w:r>
      <w:r w:rsidR="00D61C4C">
        <w:t xml:space="preserve"> first</w:t>
      </w:r>
      <w:r w:rsidR="00AE488C">
        <w:t xml:space="preserve"> priority sectors</w:t>
      </w:r>
      <w:r w:rsidR="00D61C4C">
        <w:t xml:space="preserve"> list</w:t>
      </w:r>
      <w:r w:rsidR="00AE488C">
        <w:t xml:space="preserve">. </w:t>
      </w:r>
    </w:p>
    <w:p w14:paraId="1809A322" w14:textId="77777777" w:rsidR="000A4B17" w:rsidRDefault="000A4B17" w:rsidP="000A4B17">
      <w:pPr>
        <w:pStyle w:val="Akapitzlist"/>
        <w:spacing w:after="0"/>
        <w:jc w:val="both"/>
      </w:pPr>
    </w:p>
    <w:p w14:paraId="14855836" w14:textId="382F0E8E" w:rsidR="000F0D6B" w:rsidRDefault="0078458C" w:rsidP="000A4B17">
      <w:pPr>
        <w:pStyle w:val="Nagwek2"/>
        <w:jc w:val="both"/>
      </w:pPr>
      <w:r>
        <w:t>Consultation, outreach and communication</w:t>
      </w:r>
    </w:p>
    <w:p w14:paraId="7193F0D6" w14:textId="240A28C1" w:rsidR="0078458C" w:rsidRDefault="0078458C" w:rsidP="000A4B17">
      <w:pPr>
        <w:jc w:val="both"/>
      </w:pPr>
      <w:r>
        <w:t>For the purpose of this note, we mean the following when we use the terms consultation, outreach, and communication</w:t>
      </w:r>
      <w:r w:rsidR="00456760">
        <w:t>:</w:t>
      </w:r>
    </w:p>
    <w:p w14:paraId="37BA4D17" w14:textId="6979B7B6" w:rsidR="00D04492" w:rsidRDefault="00D04492" w:rsidP="00420D53">
      <w:pPr>
        <w:pStyle w:val="Akapitzlist"/>
        <w:numPr>
          <w:ilvl w:val="0"/>
          <w:numId w:val="36"/>
        </w:numPr>
        <w:jc w:val="both"/>
      </w:pPr>
      <w:r w:rsidRPr="00420D53">
        <w:rPr>
          <w:u w:val="single"/>
        </w:rPr>
        <w:t>Consultation</w:t>
      </w:r>
      <w:r>
        <w:t xml:space="preserve"> refers to the process by which specific technical input is gathered to help develop deliverables of the TEG</w:t>
      </w:r>
      <w:r w:rsidR="004D139C">
        <w:t>;</w:t>
      </w:r>
    </w:p>
    <w:p w14:paraId="4D3A6F47" w14:textId="06EDF245" w:rsidR="00D04492" w:rsidRDefault="00D04492" w:rsidP="00420D53">
      <w:pPr>
        <w:pStyle w:val="Akapitzlist"/>
        <w:numPr>
          <w:ilvl w:val="0"/>
          <w:numId w:val="36"/>
        </w:numPr>
        <w:jc w:val="both"/>
      </w:pPr>
      <w:r w:rsidRPr="00420D53">
        <w:rPr>
          <w:u w:val="single"/>
        </w:rPr>
        <w:lastRenderedPageBreak/>
        <w:t>Outreach</w:t>
      </w:r>
      <w:r>
        <w:t xml:space="preserve"> refers to the process by which we ask stakeholders to provide feedback</w:t>
      </w:r>
      <w:r w:rsidR="004D139C">
        <w:t xml:space="preserve"> on progress made;</w:t>
      </w:r>
    </w:p>
    <w:p w14:paraId="30A7B554" w14:textId="591C7948" w:rsidR="00D04492" w:rsidRDefault="00D04492" w:rsidP="00420D53">
      <w:pPr>
        <w:pStyle w:val="Akapitzlist"/>
        <w:numPr>
          <w:ilvl w:val="0"/>
          <w:numId w:val="36"/>
        </w:numPr>
        <w:jc w:val="both"/>
      </w:pPr>
      <w:r w:rsidRPr="00420D53">
        <w:rPr>
          <w:u w:val="single"/>
        </w:rPr>
        <w:t>Communication</w:t>
      </w:r>
      <w:r>
        <w:t xml:space="preserve"> relates to the way in which the TEG communicates on its progress to the outside world, through public statements, press releases, or participating in key global sustainable finance events.  </w:t>
      </w:r>
    </w:p>
    <w:p w14:paraId="2F8B18FD" w14:textId="022857C6" w:rsidR="000F0D6B" w:rsidRDefault="000A4B17" w:rsidP="000A4B17">
      <w:pPr>
        <w:jc w:val="both"/>
      </w:pPr>
      <w:r>
        <w:t>The TEG is</w:t>
      </w:r>
      <w:r w:rsidR="00A01F43">
        <w:t xml:space="preserve"> currently</w:t>
      </w:r>
      <w:r>
        <w:t xml:space="preserve"> developing a consultation and outreach plan that follows</w:t>
      </w:r>
      <w:r w:rsidR="007A0694">
        <w:t xml:space="preserve"> European Commission guidelines. </w:t>
      </w:r>
      <w:r w:rsidR="00846B93">
        <w:t>A summary of this plan will be put</w:t>
      </w:r>
      <w:r w:rsidR="00A01F43">
        <w:t xml:space="preserve"> online in the coming</w:t>
      </w:r>
      <w:r w:rsidR="00846B93">
        <w:t xml:space="preserve"> </w:t>
      </w:r>
      <w:r w:rsidR="00C361CE">
        <w:t>weeks</w:t>
      </w:r>
      <w:r w:rsidR="00846B93">
        <w:t xml:space="preserve"> so that interested parties are </w:t>
      </w:r>
      <w:r w:rsidR="00C361CE">
        <w:t>also</w:t>
      </w:r>
      <w:r w:rsidR="00846B93">
        <w:t xml:space="preserve"> aware of the process</w:t>
      </w:r>
      <w:r w:rsidR="00A01F43" w:rsidRPr="00D04492">
        <w:t>.</w:t>
      </w:r>
      <w:r w:rsidR="00846B93">
        <w:rPr>
          <w:rStyle w:val="Odwoanieprzypisudolnego"/>
        </w:rPr>
        <w:footnoteReference w:id="12"/>
      </w:r>
      <w:r w:rsidR="00A01F43">
        <w:t xml:space="preserve"> </w:t>
      </w:r>
    </w:p>
    <w:p w14:paraId="447B51D6" w14:textId="776100A6" w:rsidR="000F0D6B" w:rsidRDefault="00A01F43" w:rsidP="000A4B17">
      <w:pPr>
        <w:jc w:val="both"/>
      </w:pPr>
      <w:r>
        <w:t xml:space="preserve">In terms of the </w:t>
      </w:r>
      <w:r w:rsidRPr="007A48E2">
        <w:t>taxonomy</w:t>
      </w:r>
      <w:r>
        <w:t xml:space="preserve">, the TWG has so far identified two key needs: </w:t>
      </w:r>
    </w:p>
    <w:p w14:paraId="059E87AF" w14:textId="29B22DC0" w:rsidR="000F0D6B" w:rsidRDefault="00420D53" w:rsidP="000F0D6B">
      <w:pPr>
        <w:pStyle w:val="Akapitzlist"/>
        <w:numPr>
          <w:ilvl w:val="0"/>
          <w:numId w:val="53"/>
        </w:numPr>
        <w:jc w:val="both"/>
      </w:pPr>
      <w:r>
        <w:t>T</w:t>
      </w:r>
      <w:r w:rsidR="00A01F43">
        <w:t xml:space="preserve">echnical input to assist in establishing technical screening criteria </w:t>
      </w:r>
      <w:r w:rsidR="000F0D6B">
        <w:t>for the different sectors</w:t>
      </w:r>
      <w:r w:rsidR="003C3AC1">
        <w:t>;</w:t>
      </w:r>
    </w:p>
    <w:p w14:paraId="35246B88" w14:textId="44AE1D6B" w:rsidR="00A01F43" w:rsidRDefault="00D04492" w:rsidP="000F0D6B">
      <w:pPr>
        <w:pStyle w:val="Akapitzlist"/>
        <w:numPr>
          <w:ilvl w:val="0"/>
          <w:numId w:val="53"/>
        </w:numPr>
        <w:jc w:val="both"/>
      </w:pPr>
      <w:r>
        <w:t>Outreach to</w:t>
      </w:r>
      <w:r w:rsidR="003C3AC1">
        <w:t xml:space="preserve"> stakeholders to receive feedback on</w:t>
      </w:r>
      <w:r w:rsidR="00A01F43">
        <w:t xml:space="preserve"> interim progress made</w:t>
      </w:r>
      <w:r w:rsidR="003C3AC1">
        <w:t>.</w:t>
      </w:r>
    </w:p>
    <w:p w14:paraId="419D6676" w14:textId="7C528961" w:rsidR="0078458C" w:rsidRDefault="0078458C" w:rsidP="000A4B17">
      <w:pPr>
        <w:jc w:val="both"/>
      </w:pPr>
      <w:r>
        <w:t xml:space="preserve">The TWG intends to use a partially overlapping phased approach in conducting </w:t>
      </w:r>
      <w:r w:rsidR="00D04492">
        <w:t xml:space="preserve">consultation and </w:t>
      </w:r>
      <w:r>
        <w:t>outreach. As is explained above, the group will initially develop technical screening for select priority sectors</w:t>
      </w:r>
      <w:r w:rsidR="00420D53">
        <w:t>, and will develop technical screening criteria for other sectors in a second round</w:t>
      </w:r>
      <w:r>
        <w:t xml:space="preserve">. </w:t>
      </w:r>
      <w:r w:rsidR="00420D53">
        <w:t>In Phase 1, t</w:t>
      </w:r>
      <w:r>
        <w:t xml:space="preserve">he group will </w:t>
      </w:r>
      <w:r w:rsidR="00D04492" w:rsidRPr="00D04492">
        <w:rPr>
          <w:u w:val="single"/>
        </w:rPr>
        <w:t>consult</w:t>
      </w:r>
      <w:r w:rsidR="00D04492">
        <w:t xml:space="preserve"> </w:t>
      </w:r>
      <w:r>
        <w:t>industry experts and environmental experts to receive input for the development of the technical screening cr</w:t>
      </w:r>
      <w:r w:rsidR="00D04492">
        <w:t>iteria</w:t>
      </w:r>
      <w:r w:rsidR="00420D53">
        <w:t xml:space="preserve"> for the priority sectors.</w:t>
      </w:r>
    </w:p>
    <w:p w14:paraId="0615C993" w14:textId="573FF961" w:rsidR="0078458C" w:rsidRDefault="00420D53" w:rsidP="000A4B17">
      <w:pPr>
        <w:jc w:val="both"/>
      </w:pPr>
      <w:r>
        <w:t>In Phase 2, o</w:t>
      </w:r>
      <w:r w:rsidR="00D04492">
        <w:t xml:space="preserve">nce a first list of economic activities has been developed for the priority sectors, the group will </w:t>
      </w:r>
      <w:r w:rsidR="00D04492" w:rsidRPr="00D04492">
        <w:rPr>
          <w:u w:val="single"/>
        </w:rPr>
        <w:t>reach out</w:t>
      </w:r>
      <w:r w:rsidR="00D04492">
        <w:t xml:space="preserve"> to relevant stakeholders to ask for </w:t>
      </w:r>
      <w:r>
        <w:t>their feedback on progress made</w:t>
      </w:r>
      <w:r w:rsidR="00D04492">
        <w:t>. Stakeholders will be able to comment on</w:t>
      </w:r>
      <w:r>
        <w:t>:</w:t>
      </w:r>
    </w:p>
    <w:p w14:paraId="50368220" w14:textId="64CBE61D" w:rsidR="00D04492" w:rsidRPr="00410B27" w:rsidRDefault="00D04492" w:rsidP="00D04492">
      <w:pPr>
        <w:pStyle w:val="Akapitzlist"/>
        <w:numPr>
          <w:ilvl w:val="0"/>
          <w:numId w:val="14"/>
        </w:numPr>
        <w:jc w:val="both"/>
      </w:pPr>
      <w:r w:rsidRPr="00410B27">
        <w:t xml:space="preserve">The added value of the taxonomy (in its proposed </w:t>
      </w:r>
      <w:r w:rsidRPr="007038CC">
        <w:rPr>
          <w:spacing w:val="-2"/>
        </w:rPr>
        <w:t xml:space="preserve">form), </w:t>
      </w:r>
    </w:p>
    <w:p w14:paraId="562AE5C2" w14:textId="18E77745" w:rsidR="00D04492" w:rsidRPr="00410B27" w:rsidRDefault="00D04492" w:rsidP="00D04492">
      <w:pPr>
        <w:pStyle w:val="Akapitzlist"/>
        <w:numPr>
          <w:ilvl w:val="0"/>
          <w:numId w:val="14"/>
        </w:numPr>
        <w:jc w:val="both"/>
      </w:pPr>
      <w:r>
        <w:t>T</w:t>
      </w:r>
      <w:r w:rsidRPr="00410B27">
        <w:t xml:space="preserve">he criteria for choosing the sectors </w:t>
      </w:r>
      <w:r w:rsidRPr="007038CC">
        <w:rPr>
          <w:spacing w:val="-3"/>
        </w:rPr>
        <w:t>and</w:t>
      </w:r>
      <w:r w:rsidR="00574BCE">
        <w:rPr>
          <w:spacing w:val="-3"/>
        </w:rPr>
        <w:t xml:space="preserve"> the technical screening criteria for choosing the </w:t>
      </w:r>
      <w:r w:rsidRPr="007038CC">
        <w:rPr>
          <w:spacing w:val="-3"/>
        </w:rPr>
        <w:t xml:space="preserve"> </w:t>
      </w:r>
      <w:r w:rsidRPr="00410B27">
        <w:t>economic activities</w:t>
      </w:r>
      <w:r w:rsidR="00574BCE">
        <w:t xml:space="preserve"> to be included in the taxonomy;</w:t>
      </w:r>
    </w:p>
    <w:p w14:paraId="46BD1F0A" w14:textId="77777777" w:rsidR="00D04492" w:rsidRPr="00471911" w:rsidRDefault="00D04492" w:rsidP="00D04492">
      <w:pPr>
        <w:pStyle w:val="Akapitzlist"/>
        <w:numPr>
          <w:ilvl w:val="0"/>
          <w:numId w:val="14"/>
        </w:numPr>
        <w:jc w:val="both"/>
      </w:pPr>
      <w:r w:rsidRPr="00410B27">
        <w:t xml:space="preserve">The expected environmental, economic and financial </w:t>
      </w:r>
      <w:r w:rsidRPr="007038CC">
        <w:rPr>
          <w:spacing w:val="-3"/>
        </w:rPr>
        <w:t xml:space="preserve">impacts </w:t>
      </w:r>
      <w:r w:rsidRPr="00410B27">
        <w:t>of those</w:t>
      </w:r>
      <w:r w:rsidRPr="007038CC">
        <w:rPr>
          <w:spacing w:val="-4"/>
        </w:rPr>
        <w:t xml:space="preserve"> </w:t>
      </w:r>
      <w:r w:rsidRPr="00410B27">
        <w:t>choices.</w:t>
      </w:r>
    </w:p>
    <w:p w14:paraId="0FB57F9F" w14:textId="6512CC9E" w:rsidR="00D04492" w:rsidRDefault="00420D53" w:rsidP="000A4B17">
      <w:pPr>
        <w:jc w:val="both"/>
      </w:pPr>
      <w:r>
        <w:t xml:space="preserve">In Phase 3, </w:t>
      </w:r>
      <w:r w:rsidR="00D04492">
        <w:t>and partially overlapping</w:t>
      </w:r>
      <w:r>
        <w:t xml:space="preserve"> with Phase 2, the group will </w:t>
      </w:r>
      <w:r w:rsidRPr="00D04492">
        <w:rPr>
          <w:u w:val="single"/>
        </w:rPr>
        <w:t>consult</w:t>
      </w:r>
      <w:r>
        <w:t xml:space="preserve"> industry experts and environmental experts to receive input for the development of the technical screening criteria for the second round of sectors.</w:t>
      </w:r>
    </w:p>
    <w:p w14:paraId="05291199" w14:textId="341DA70E" w:rsidR="00420D53" w:rsidRDefault="00420D53" w:rsidP="00420D53">
      <w:pPr>
        <w:jc w:val="both"/>
      </w:pPr>
      <w:r>
        <w:t xml:space="preserve">Please note that while in this indicative timeline no specific </w:t>
      </w:r>
      <w:r w:rsidRPr="00420D53">
        <w:rPr>
          <w:u w:val="single"/>
        </w:rPr>
        <w:t>outreach</w:t>
      </w:r>
      <w:r>
        <w:t xml:space="preserve"> is envisaged regarding the second round of sectors, there will be an open consultation on the final report, which will allow all relevant stakeholders to provide their feedback on those sectors as well. </w:t>
      </w:r>
    </w:p>
    <w:p w14:paraId="51474CC9" w14:textId="21BB58FA" w:rsidR="0078458C" w:rsidRDefault="0078458C" w:rsidP="000A4B17">
      <w:pPr>
        <w:jc w:val="both"/>
      </w:pPr>
      <w:r>
        <w:t>An indicative timeline could look something like this:</w:t>
      </w:r>
    </w:p>
    <w:tbl>
      <w:tblPr>
        <w:tblStyle w:val="Tabela-Siatka"/>
        <w:tblW w:w="0" w:type="auto"/>
        <w:tblLook w:val="04A0" w:firstRow="1" w:lastRow="0" w:firstColumn="1" w:lastColumn="0" w:noHBand="0" w:noVBand="1"/>
      </w:tblPr>
      <w:tblGrid>
        <w:gridCol w:w="1683"/>
        <w:gridCol w:w="1905"/>
        <w:gridCol w:w="5654"/>
      </w:tblGrid>
      <w:tr w:rsidR="0078458C" w:rsidRPr="003563B2" w14:paraId="416BDDE2" w14:textId="77777777" w:rsidTr="0078458C">
        <w:tc>
          <w:tcPr>
            <w:tcW w:w="1683" w:type="dxa"/>
          </w:tcPr>
          <w:p w14:paraId="2ED78A7A" w14:textId="45409CBA" w:rsidR="0078458C" w:rsidRDefault="0078458C" w:rsidP="00D04492">
            <w:pPr>
              <w:spacing w:before="40" w:after="80"/>
              <w:jc w:val="both"/>
              <w:rPr>
                <w:b/>
              </w:rPr>
            </w:pPr>
            <w:r>
              <w:rPr>
                <w:b/>
              </w:rPr>
              <w:t>Phase 1</w:t>
            </w:r>
          </w:p>
        </w:tc>
        <w:tc>
          <w:tcPr>
            <w:tcW w:w="1905" w:type="dxa"/>
          </w:tcPr>
          <w:p w14:paraId="3ACA4F9A" w14:textId="1716AC12" w:rsidR="0078458C" w:rsidRPr="003563B2" w:rsidRDefault="0078458C" w:rsidP="00420D53">
            <w:pPr>
              <w:spacing w:before="40" w:after="80"/>
              <w:jc w:val="both"/>
              <w:rPr>
                <w:b/>
              </w:rPr>
            </w:pPr>
            <w:r>
              <w:rPr>
                <w:b/>
              </w:rPr>
              <w:t>November</w:t>
            </w:r>
            <w:r w:rsidR="00420D53">
              <w:rPr>
                <w:b/>
              </w:rPr>
              <w:t>-</w:t>
            </w:r>
            <w:r>
              <w:rPr>
                <w:b/>
              </w:rPr>
              <w:t xml:space="preserve"> January</w:t>
            </w:r>
          </w:p>
        </w:tc>
        <w:tc>
          <w:tcPr>
            <w:tcW w:w="5654" w:type="dxa"/>
          </w:tcPr>
          <w:p w14:paraId="7E5C9923" w14:textId="67F76B2C" w:rsidR="0078458C" w:rsidRPr="003563B2" w:rsidRDefault="00420D53" w:rsidP="00420D53">
            <w:pPr>
              <w:spacing w:before="40" w:after="80"/>
              <w:jc w:val="both"/>
            </w:pPr>
            <w:r w:rsidRPr="00420D53">
              <w:rPr>
                <w:u w:val="single"/>
              </w:rPr>
              <w:t>Consult</w:t>
            </w:r>
            <w:r w:rsidR="0078458C">
              <w:t xml:space="preserve"> industry experts and environmental experts to gather input for technical screening criteria for priority sectors </w:t>
            </w:r>
          </w:p>
        </w:tc>
      </w:tr>
      <w:tr w:rsidR="0078458C" w:rsidRPr="003563B2" w14:paraId="402EA229" w14:textId="77777777" w:rsidTr="0078458C">
        <w:tc>
          <w:tcPr>
            <w:tcW w:w="1683" w:type="dxa"/>
          </w:tcPr>
          <w:p w14:paraId="6E9AB7F5" w14:textId="6B1D8FC3" w:rsidR="0078458C" w:rsidRDefault="0078458C" w:rsidP="00D04492">
            <w:pPr>
              <w:spacing w:before="40" w:after="80"/>
              <w:jc w:val="both"/>
              <w:rPr>
                <w:b/>
              </w:rPr>
            </w:pPr>
            <w:r>
              <w:rPr>
                <w:b/>
              </w:rPr>
              <w:t>Phase 2</w:t>
            </w:r>
          </w:p>
        </w:tc>
        <w:tc>
          <w:tcPr>
            <w:tcW w:w="1905" w:type="dxa"/>
          </w:tcPr>
          <w:p w14:paraId="622BFED7" w14:textId="4FC0FEF1" w:rsidR="0078458C" w:rsidRPr="003563B2" w:rsidRDefault="0078458C" w:rsidP="00D04492">
            <w:pPr>
              <w:spacing w:before="40" w:after="80"/>
              <w:jc w:val="both"/>
              <w:rPr>
                <w:b/>
              </w:rPr>
            </w:pPr>
            <w:r>
              <w:rPr>
                <w:b/>
              </w:rPr>
              <w:t xml:space="preserve">February-March </w:t>
            </w:r>
          </w:p>
        </w:tc>
        <w:tc>
          <w:tcPr>
            <w:tcW w:w="5654" w:type="dxa"/>
          </w:tcPr>
          <w:p w14:paraId="4CDC72D8" w14:textId="45BD9CDC" w:rsidR="0078458C" w:rsidRPr="003563B2" w:rsidRDefault="0078458C" w:rsidP="00D04492">
            <w:pPr>
              <w:spacing w:before="40" w:after="80"/>
              <w:jc w:val="both"/>
            </w:pPr>
            <w:r>
              <w:t>B</w:t>
            </w:r>
            <w:r w:rsidRPr="003563B2">
              <w:t>road</w:t>
            </w:r>
            <w:r>
              <w:t>er</w:t>
            </w:r>
            <w:r w:rsidRPr="003563B2">
              <w:t xml:space="preserve"> stakeholder </w:t>
            </w:r>
            <w:r w:rsidRPr="00420D53">
              <w:rPr>
                <w:u w:val="single"/>
              </w:rPr>
              <w:t>outreach</w:t>
            </w:r>
            <w:r w:rsidRPr="003563B2">
              <w:t>, including targeting on a se</w:t>
            </w:r>
            <w:r>
              <w:t xml:space="preserve">ctoral basis and civil society, to consult on interim taxonomy on priority sectors </w:t>
            </w:r>
          </w:p>
        </w:tc>
      </w:tr>
      <w:tr w:rsidR="0078458C" w:rsidRPr="003563B2" w14:paraId="7A687EBC" w14:textId="77777777" w:rsidTr="0078458C">
        <w:trPr>
          <w:trHeight w:val="347"/>
        </w:trPr>
        <w:tc>
          <w:tcPr>
            <w:tcW w:w="1683" w:type="dxa"/>
          </w:tcPr>
          <w:p w14:paraId="751FA160" w14:textId="590A7BA4" w:rsidR="0078458C" w:rsidRPr="003563B2" w:rsidRDefault="0078458C" w:rsidP="0078458C">
            <w:pPr>
              <w:spacing w:before="40" w:after="80"/>
              <w:jc w:val="both"/>
              <w:rPr>
                <w:b/>
              </w:rPr>
            </w:pPr>
            <w:r>
              <w:rPr>
                <w:b/>
              </w:rPr>
              <w:t>Phase 3</w:t>
            </w:r>
          </w:p>
        </w:tc>
        <w:tc>
          <w:tcPr>
            <w:tcW w:w="1905" w:type="dxa"/>
          </w:tcPr>
          <w:p w14:paraId="580FC2A1" w14:textId="1E06EF04" w:rsidR="0078458C" w:rsidRPr="003563B2" w:rsidRDefault="0078458C" w:rsidP="00420D53">
            <w:pPr>
              <w:spacing w:before="40" w:after="80"/>
              <w:jc w:val="both"/>
              <w:rPr>
                <w:b/>
              </w:rPr>
            </w:pPr>
            <w:r w:rsidRPr="003563B2">
              <w:rPr>
                <w:b/>
              </w:rPr>
              <w:t xml:space="preserve">March – </w:t>
            </w:r>
            <w:r w:rsidR="00420D53">
              <w:rPr>
                <w:b/>
              </w:rPr>
              <w:t>April</w:t>
            </w:r>
          </w:p>
        </w:tc>
        <w:tc>
          <w:tcPr>
            <w:tcW w:w="5654" w:type="dxa"/>
          </w:tcPr>
          <w:p w14:paraId="6FAA7C1E" w14:textId="138D08B6" w:rsidR="0078458C" w:rsidRPr="003563B2" w:rsidRDefault="00D04492" w:rsidP="0078458C">
            <w:pPr>
              <w:spacing w:before="40" w:after="80"/>
              <w:jc w:val="both"/>
            </w:pPr>
            <w:r>
              <w:t>Consult</w:t>
            </w:r>
            <w:r w:rsidR="0078458C">
              <w:t xml:space="preserve"> industry experts and environmental experts to gather input for technical screening criteria for second </w:t>
            </w:r>
            <w:r w:rsidR="0078458C">
              <w:lastRenderedPageBreak/>
              <w:t xml:space="preserve">round priority sectors </w:t>
            </w:r>
          </w:p>
        </w:tc>
      </w:tr>
    </w:tbl>
    <w:p w14:paraId="2B512EE3" w14:textId="77777777" w:rsidR="0078458C" w:rsidRDefault="0078458C" w:rsidP="000A4B17">
      <w:pPr>
        <w:jc w:val="both"/>
      </w:pPr>
    </w:p>
    <w:p w14:paraId="60323D8D" w14:textId="40B0DAB5" w:rsidR="00420D53" w:rsidRDefault="00420D53" w:rsidP="000A4B17">
      <w:pPr>
        <w:jc w:val="both"/>
      </w:pPr>
      <w:r>
        <w:t xml:space="preserve">Please note that this indicative timetable does not necessarily mean that no work on other sectors will be done before March. This will depend on the process and progress made regarding the priority sectors. </w:t>
      </w:r>
    </w:p>
    <w:p w14:paraId="5BC32B4B" w14:textId="6003B848" w:rsidR="00420D53" w:rsidRPr="00410B27" w:rsidRDefault="00420D53" w:rsidP="000A4B17">
      <w:pPr>
        <w:jc w:val="both"/>
      </w:pPr>
      <w:r>
        <w:t xml:space="preserve">Please note finally that the consultation and outreach strategy is still under development, and that more information will be put online soon. </w:t>
      </w:r>
    </w:p>
    <w:p w14:paraId="5BAE737E" w14:textId="08E66BCB" w:rsidR="00964B74" w:rsidRDefault="00964B74" w:rsidP="00964B74">
      <w:pPr>
        <w:spacing w:after="0"/>
        <w:jc w:val="both"/>
      </w:pPr>
    </w:p>
    <w:p w14:paraId="736CE9E3" w14:textId="73A788D9" w:rsidR="00964B74" w:rsidRDefault="00964B74" w:rsidP="00964B74">
      <w:pPr>
        <w:pStyle w:val="Nagwek2"/>
        <w:jc w:val="both"/>
      </w:pPr>
      <w:r>
        <w:t xml:space="preserve">Impact </w:t>
      </w:r>
      <w:r w:rsidR="00925CC2">
        <w:t>analysis report</w:t>
      </w:r>
    </w:p>
    <w:p w14:paraId="5148746A" w14:textId="77777777" w:rsidR="000A4B17" w:rsidRDefault="000A4B17" w:rsidP="00964B74">
      <w:pPr>
        <w:jc w:val="both"/>
      </w:pPr>
    </w:p>
    <w:p w14:paraId="3455AD7D" w14:textId="55BC36C9" w:rsidR="00964B74" w:rsidRDefault="00964B74" w:rsidP="00964B74">
      <w:pPr>
        <w:jc w:val="both"/>
      </w:pPr>
      <w:r>
        <w:t xml:space="preserve">The legislative proposal on the Taxonomy has already been subject to an impact assessment. However, this covered the framework provided in the L1 text and not the technical screening criteria of the EU Taxonomy. For this reason, the mandate of the Taxonomy working group foresees that the group will carefully assess the potential environmental, economic and financial impacts of the taxonomy using as a starting point for their work the proposed regulation or the final text if agreed by the co-legislators. </w:t>
      </w:r>
      <w:r w:rsidR="00925CC2">
        <w:t>The work will also align with the Commission’s guidelines on impact assessment to e</w:t>
      </w:r>
      <w:r w:rsidR="00C9723A">
        <w:t>nsure consistency between the TE</w:t>
      </w:r>
      <w:r w:rsidR="00925CC2">
        <w:t xml:space="preserve">G impact </w:t>
      </w:r>
      <w:r w:rsidR="0052466B">
        <w:t>analysis report</w:t>
      </w:r>
      <w:r w:rsidR="00925CC2">
        <w:t xml:space="preserve"> and any future impact assessments relating to the preparation and adoption of delegated acts.</w:t>
      </w:r>
    </w:p>
    <w:p w14:paraId="55ED7032" w14:textId="7BF1EFE2" w:rsidR="00964B74" w:rsidRDefault="00964B74" w:rsidP="00964B74">
      <w:pPr>
        <w:jc w:val="both"/>
      </w:pPr>
      <w:r>
        <w:t>This work is at an early stage</w:t>
      </w:r>
      <w:r w:rsidR="003D2716">
        <w:t xml:space="preserve"> and the experts have just started discussing on how to approach this task and the main building blocks.</w:t>
      </w:r>
    </w:p>
    <w:p w14:paraId="2954EB7C" w14:textId="77777777" w:rsidR="00964B74" w:rsidRDefault="00964B74" w:rsidP="00964B74">
      <w:pPr>
        <w:spacing w:after="0"/>
        <w:jc w:val="both"/>
      </w:pPr>
    </w:p>
    <w:p w14:paraId="615EA0DE" w14:textId="5B798A2F" w:rsidR="009E029F" w:rsidRPr="009E029F" w:rsidRDefault="00BE160F" w:rsidP="002A5A2D">
      <w:pPr>
        <w:pStyle w:val="Nagwek2"/>
        <w:jc w:val="both"/>
      </w:pPr>
      <w:r>
        <w:t>I</w:t>
      </w:r>
      <w:r w:rsidR="009E029F">
        <w:t xml:space="preserve">nteraction </w:t>
      </w:r>
      <w:r w:rsidR="00C361CE">
        <w:t>MSEG - TEG</w:t>
      </w:r>
    </w:p>
    <w:p w14:paraId="7B56095A" w14:textId="77777777" w:rsidR="0080539D" w:rsidRDefault="0080539D" w:rsidP="002A5A2D">
      <w:pPr>
        <w:jc w:val="both"/>
      </w:pPr>
    </w:p>
    <w:p w14:paraId="2115FEA0" w14:textId="0F79A250" w:rsidR="00201E09" w:rsidRDefault="00201E09" w:rsidP="002A5A2D">
      <w:pPr>
        <w:jc w:val="both"/>
      </w:pPr>
      <w:r>
        <w:t xml:space="preserve">The work </w:t>
      </w:r>
      <w:r w:rsidR="00F81678">
        <w:t xml:space="preserve">currently undertaken by the </w:t>
      </w:r>
      <w:r w:rsidR="00C9723A">
        <w:t>TE</w:t>
      </w:r>
      <w:r w:rsidR="00D15DB8">
        <w:t>G</w:t>
      </w:r>
      <w:r>
        <w:t xml:space="preserve"> on the Taxonomy would </w:t>
      </w:r>
      <w:r w:rsidR="00F81678">
        <w:t xml:space="preserve">benefit </w:t>
      </w:r>
      <w:r>
        <w:t xml:space="preserve">from </w:t>
      </w:r>
      <w:r w:rsidR="00D15DB8">
        <w:t>MSEG view</w:t>
      </w:r>
      <w:r w:rsidR="00F81678">
        <w:t xml:space="preserve"> </w:t>
      </w:r>
      <w:r w:rsidR="00DE29BA">
        <w:t>on the</w:t>
      </w:r>
      <w:r w:rsidR="00D15DB8">
        <w:t xml:space="preserve"> overall</w:t>
      </w:r>
      <w:r w:rsidR="00DE29BA">
        <w:t xml:space="preserve"> approach currently</w:t>
      </w:r>
      <w:r w:rsidR="00D15DB8">
        <w:t xml:space="preserve"> adopted and in</w:t>
      </w:r>
      <w:r w:rsidR="00F81678">
        <w:t xml:space="preserve"> </w:t>
      </w:r>
      <w:r w:rsidR="00D15DB8">
        <w:t xml:space="preserve">particular </w:t>
      </w:r>
      <w:r>
        <w:t>on the following:</w:t>
      </w:r>
    </w:p>
    <w:p w14:paraId="110936FE" w14:textId="77777777" w:rsidR="00D772C4" w:rsidRDefault="00027F86" w:rsidP="009505A6">
      <w:pPr>
        <w:pStyle w:val="Akapitzlist"/>
        <w:numPr>
          <w:ilvl w:val="0"/>
          <w:numId w:val="36"/>
        </w:numPr>
        <w:jc w:val="both"/>
      </w:pPr>
      <w:r>
        <w:t xml:space="preserve">Would MSEG </w:t>
      </w:r>
      <w:r w:rsidR="007D6704">
        <w:t>have comments on</w:t>
      </w:r>
      <w:r>
        <w:t xml:space="preserve"> the resulting first list of priority sectors? </w:t>
      </w:r>
      <w:r w:rsidR="00201E09">
        <w:t xml:space="preserve">Are there </w:t>
      </w:r>
      <w:r w:rsidR="00D15DB8">
        <w:t>sectors/</w:t>
      </w:r>
      <w:r w:rsidR="00201E09">
        <w:t>s</w:t>
      </w:r>
      <w:r w:rsidR="00486D42">
        <w:t xml:space="preserve">ub-sectors within the priority </w:t>
      </w:r>
      <w:r w:rsidR="00D15DB8">
        <w:t>macro-</w:t>
      </w:r>
      <w:r w:rsidR="00486D42">
        <w:t xml:space="preserve">sectors that are </w:t>
      </w:r>
      <w:r w:rsidR="00201E09">
        <w:t xml:space="preserve">generally considered to be of high interest to </w:t>
      </w:r>
      <w:r>
        <w:t>MSEG</w:t>
      </w:r>
      <w:r w:rsidR="00C9723A">
        <w:t xml:space="preserve"> for </w:t>
      </w:r>
      <w:r w:rsidR="006E37B1">
        <w:t>the</w:t>
      </w:r>
      <w:r w:rsidR="00C9723A">
        <w:t xml:space="preserve"> first phase of the TE</w:t>
      </w:r>
      <w:r w:rsidR="00D15DB8">
        <w:t>G work</w:t>
      </w:r>
      <w:r w:rsidR="00201E09">
        <w:t>?</w:t>
      </w:r>
    </w:p>
    <w:p w14:paraId="63D5F134" w14:textId="4EEA2AAF" w:rsidR="00AE235D" w:rsidRDefault="00201E09" w:rsidP="009505A6">
      <w:pPr>
        <w:pStyle w:val="Akapitzlist"/>
        <w:numPr>
          <w:ilvl w:val="0"/>
          <w:numId w:val="36"/>
        </w:numPr>
        <w:jc w:val="both"/>
      </w:pPr>
      <w:r>
        <w:t xml:space="preserve">Which </w:t>
      </w:r>
      <w:r w:rsidR="007D6704">
        <w:t>sectors/sub-sectors should be added</w:t>
      </w:r>
      <w:r w:rsidR="006E37B1">
        <w:t xml:space="preserve"> </w:t>
      </w:r>
      <w:r w:rsidR="00D772C4">
        <w:t xml:space="preserve">to the first list of priority sectors </w:t>
      </w:r>
      <w:r w:rsidR="006E37B1">
        <w:t>for the second phase</w:t>
      </w:r>
      <w:r w:rsidR="007D6704">
        <w:t xml:space="preserve"> and for</w:t>
      </w:r>
      <w:r>
        <w:t xml:space="preserve"> what reasons?</w:t>
      </w:r>
    </w:p>
    <w:p w14:paraId="26C2464A" w14:textId="2511EAF5" w:rsidR="00486D42" w:rsidRDefault="00233F6B" w:rsidP="000A4B17">
      <w:r>
        <w:t>MSEG is invited</w:t>
      </w:r>
      <w:r w:rsidR="00F81678">
        <w:t xml:space="preserve"> </w:t>
      </w:r>
      <w:r w:rsidR="00B33E6E">
        <w:t xml:space="preserve">to provide </w:t>
      </w:r>
      <w:r w:rsidR="006E37B1">
        <w:t>their feedback</w:t>
      </w:r>
      <w:r w:rsidR="00B33E6E">
        <w:t xml:space="preserve"> in written form</w:t>
      </w:r>
      <w:r w:rsidR="00D15DB8">
        <w:t xml:space="preserve"> </w:t>
      </w:r>
      <w:r w:rsidR="00C9723A">
        <w:rPr>
          <w:u w:val="single"/>
        </w:rPr>
        <w:t xml:space="preserve">by </w:t>
      </w:r>
      <w:r w:rsidR="006E37B1">
        <w:rPr>
          <w:u w:val="single"/>
        </w:rPr>
        <w:t>Wednesday</w:t>
      </w:r>
      <w:r w:rsidR="00C9723A">
        <w:rPr>
          <w:u w:val="single"/>
        </w:rPr>
        <w:t xml:space="preserve"> October </w:t>
      </w:r>
      <w:r w:rsidR="006E37B1">
        <w:rPr>
          <w:u w:val="single"/>
        </w:rPr>
        <w:t>10</w:t>
      </w:r>
      <w:r w:rsidR="006E37B1" w:rsidRPr="006E37B1">
        <w:t xml:space="preserve"> on the above a</w:t>
      </w:r>
      <w:r w:rsidR="00D772C4">
        <w:t>nd</w:t>
      </w:r>
      <w:r w:rsidR="006E37B1">
        <w:t xml:space="preserve"> on</w:t>
      </w:r>
      <w:r w:rsidR="00D15DB8">
        <w:t xml:space="preserve"> </w:t>
      </w:r>
      <w:r w:rsidR="00B33E6E">
        <w:t xml:space="preserve">any </w:t>
      </w:r>
      <w:r w:rsidR="00D772C4">
        <w:t>other</w:t>
      </w:r>
      <w:r w:rsidR="00B33E6E">
        <w:t xml:space="preserve"> </w:t>
      </w:r>
      <w:r w:rsidR="00F81678">
        <w:t xml:space="preserve">technical issues where </w:t>
      </w:r>
      <w:r w:rsidR="00B33E6E">
        <w:t xml:space="preserve">it </w:t>
      </w:r>
      <w:r w:rsidR="00AE4E61">
        <w:t>wishes to</w:t>
      </w:r>
      <w:r w:rsidR="009E108F">
        <w:t xml:space="preserve"> pr</w:t>
      </w:r>
      <w:r w:rsidR="00C9723A">
        <w:t>ovide further guidance to the TE</w:t>
      </w:r>
      <w:r w:rsidR="009E108F">
        <w:t>G</w:t>
      </w:r>
      <w:r w:rsidR="00F81678">
        <w:t xml:space="preserve">. </w:t>
      </w:r>
      <w:r w:rsidR="00D772C4">
        <w:t>MSEG is also invited to indicate subject technical areas presented in the paper where it would need more explanation from the TEG</w:t>
      </w:r>
      <w:r w:rsidR="00F81678">
        <w:t>. The Commission</w:t>
      </w:r>
      <w:r w:rsidR="00D15DB8">
        <w:t xml:space="preserve"> staff</w:t>
      </w:r>
      <w:r w:rsidR="00F81678">
        <w:t xml:space="preserve"> would collect</w:t>
      </w:r>
      <w:r w:rsidR="00D15DB8">
        <w:t xml:space="preserve"> and synthesise them in order to</w:t>
      </w:r>
      <w:r w:rsidR="00F81678">
        <w:t xml:space="preserve"> feed them to </w:t>
      </w:r>
      <w:r w:rsidR="00C9723A">
        <w:t xml:space="preserve">the </w:t>
      </w:r>
      <w:r w:rsidR="006E37B1">
        <w:t xml:space="preserve">next </w:t>
      </w:r>
      <w:r w:rsidR="00C9723A">
        <w:t>TE</w:t>
      </w:r>
      <w:r w:rsidR="00B33E6E">
        <w:t>G</w:t>
      </w:r>
      <w:r w:rsidR="006E37B1">
        <w:t xml:space="preserve"> meeting which is foreseen on October 16 and 17</w:t>
      </w:r>
      <w:r w:rsidR="00D15DB8">
        <w:t>.</w:t>
      </w:r>
      <w:r w:rsidR="00F81678">
        <w:t xml:space="preserve"> </w:t>
      </w:r>
      <w:r w:rsidR="00D15DB8">
        <w:t>The needed</w:t>
      </w:r>
      <w:r w:rsidR="00F81678">
        <w:t xml:space="preserve"> clarification</w:t>
      </w:r>
      <w:r w:rsidR="00D15DB8">
        <w:t xml:space="preserve"> as well </w:t>
      </w:r>
      <w:r w:rsidR="0040702C">
        <w:t>as</w:t>
      </w:r>
      <w:r w:rsidR="00D15DB8">
        <w:t xml:space="preserve"> </w:t>
      </w:r>
      <w:r w:rsidR="00C9723A">
        <w:t xml:space="preserve">progress achieved by </w:t>
      </w:r>
      <w:r w:rsidR="00D772C4">
        <w:t>then</w:t>
      </w:r>
      <w:r w:rsidR="00C9723A">
        <w:t xml:space="preserve"> by the TE</w:t>
      </w:r>
      <w:r w:rsidR="00D15DB8">
        <w:t xml:space="preserve">G </w:t>
      </w:r>
      <w:r w:rsidR="006E37B1">
        <w:t>can</w:t>
      </w:r>
      <w:r w:rsidR="00D15DB8">
        <w:t xml:space="preserve"> be presented</w:t>
      </w:r>
      <w:r w:rsidR="00F81678">
        <w:t xml:space="preserve"> at the next </w:t>
      </w:r>
      <w:r w:rsidR="00B33E6E">
        <w:t>MSEG</w:t>
      </w:r>
      <w:r w:rsidR="00AE235D">
        <w:t xml:space="preserve"> meeting in January 2019</w:t>
      </w:r>
      <w:r w:rsidR="006E37B1">
        <w:t xml:space="preserve"> or at an ad-hoc meeting by end of November if MSEG so wishes</w:t>
      </w:r>
      <w:r w:rsidR="00AE235D">
        <w:t>.</w:t>
      </w:r>
    </w:p>
    <w:p w14:paraId="1328399F" w14:textId="77777777" w:rsidR="00AE235D" w:rsidRDefault="00AE235D" w:rsidP="002A5A2D">
      <w:pPr>
        <w:jc w:val="both"/>
        <w:rPr>
          <w:rFonts w:asciiTheme="majorHAnsi" w:eastAsiaTheme="majorEastAsia" w:hAnsiTheme="majorHAnsi" w:cstheme="majorBidi"/>
          <w:color w:val="2F5496" w:themeColor="accent1" w:themeShade="BF"/>
          <w:sz w:val="26"/>
          <w:szCs w:val="26"/>
        </w:rPr>
      </w:pPr>
      <w:r>
        <w:br w:type="page"/>
      </w:r>
    </w:p>
    <w:p w14:paraId="09373593" w14:textId="0025E73A" w:rsidR="00EA7EA0" w:rsidRDefault="00EA7EA0" w:rsidP="002A5A2D">
      <w:pPr>
        <w:pStyle w:val="Nagwek2"/>
        <w:numPr>
          <w:ilvl w:val="0"/>
          <w:numId w:val="0"/>
        </w:numPr>
        <w:jc w:val="both"/>
      </w:pPr>
      <w:bookmarkStart w:id="14" w:name="_Ref525044486"/>
      <w:bookmarkStart w:id="15" w:name="_Toc525115766"/>
      <w:r>
        <w:lastRenderedPageBreak/>
        <w:t xml:space="preserve">Appendix </w:t>
      </w:r>
      <w:r w:rsidR="009E029F">
        <w:t>– Sector prioritisation methodology</w:t>
      </w:r>
      <w:bookmarkEnd w:id="14"/>
      <w:bookmarkEnd w:id="15"/>
      <w:r w:rsidR="0052466B">
        <w:t xml:space="preserve"> for climate mitigation</w:t>
      </w:r>
    </w:p>
    <w:p w14:paraId="5C20FAA3" w14:textId="77777777" w:rsidR="001C0EF6" w:rsidRDefault="001C0EF6" w:rsidP="002A5A2D">
      <w:pPr>
        <w:jc w:val="both"/>
      </w:pPr>
    </w:p>
    <w:p w14:paraId="25B41180" w14:textId="4E747676" w:rsidR="001C0EF6" w:rsidRDefault="001C0EF6" w:rsidP="002A5A2D">
      <w:pPr>
        <w:jc w:val="both"/>
      </w:pPr>
      <w:r>
        <w:t xml:space="preserve">To prioritise activities for assessment for inclusion in the Taxonomy, the group has so far considered mitigation characteristics of macro sectors. For the next MS expert group meeting, the group will also propose priority sectors based on their adaptation relevance and </w:t>
      </w:r>
      <w:r w:rsidR="00015855">
        <w:t>will add</w:t>
      </w:r>
      <w:r>
        <w:t xml:space="preserve"> more mitigation sectors as the analysis continues.</w:t>
      </w:r>
    </w:p>
    <w:p w14:paraId="08102EC0" w14:textId="58D2A9D6" w:rsidR="001C0EF6" w:rsidRDefault="001C0EF6" w:rsidP="002A5A2D">
      <w:pPr>
        <w:jc w:val="both"/>
      </w:pPr>
      <w:r>
        <w:t>The initial prioritisation</w:t>
      </w:r>
      <w:r w:rsidR="00015855">
        <w:t xml:space="preserve"> for climate mitigation sectors</w:t>
      </w:r>
      <w:r>
        <w:t xml:space="preserve"> has considered two factors: </w:t>
      </w:r>
    </w:p>
    <w:p w14:paraId="6FDE27A8" w14:textId="77777777" w:rsidR="001C0EF6" w:rsidRDefault="001C0EF6" w:rsidP="002A5A2D">
      <w:pPr>
        <w:pStyle w:val="Zwykytekst"/>
        <w:numPr>
          <w:ilvl w:val="0"/>
          <w:numId w:val="28"/>
        </w:numPr>
        <w:jc w:val="both"/>
      </w:pPr>
      <w:r>
        <w:t>The highest emitting macro level sectors.</w:t>
      </w:r>
    </w:p>
    <w:p w14:paraId="38A442CE" w14:textId="0FC74CBE" w:rsidR="001C0EF6" w:rsidRDefault="001C0EF6" w:rsidP="002A5A2D">
      <w:pPr>
        <w:pStyle w:val="Akapitzlist"/>
        <w:numPr>
          <w:ilvl w:val="0"/>
          <w:numId w:val="28"/>
        </w:numPr>
        <w:jc w:val="both"/>
      </w:pPr>
      <w:r>
        <w:t xml:space="preserve">High confidence mitigation potential </w:t>
      </w:r>
      <w:r w:rsidR="00015855">
        <w:t>macro level sectors</w:t>
      </w:r>
      <w:r>
        <w:t xml:space="preserve">. </w:t>
      </w:r>
    </w:p>
    <w:p w14:paraId="10A3AC89" w14:textId="3EF7EF58" w:rsidR="001C0EF6" w:rsidRPr="00252737" w:rsidRDefault="001C0EF6" w:rsidP="002A5A2D">
      <w:pPr>
        <w:pStyle w:val="Nagwek4"/>
        <w:jc w:val="both"/>
      </w:pPr>
      <w:r>
        <w:t>M</w:t>
      </w:r>
      <w:r w:rsidR="00777CE9">
        <w:t>acro</w:t>
      </w:r>
      <w:r>
        <w:t xml:space="preserve"> sector GHG analysis </w:t>
      </w:r>
    </w:p>
    <w:p w14:paraId="721EB31F" w14:textId="626D4170" w:rsidR="001C0EF6" w:rsidRDefault="001C0EF6" w:rsidP="002A5A2D">
      <w:pPr>
        <w:pStyle w:val="Zwykytekst"/>
        <w:jc w:val="both"/>
      </w:pPr>
      <w:r>
        <w:t>GHG emissions for NACE macro sectors are listed below. Based on this assessment, four macro sectors were identified to provide initial focus (in bold in the below table). The four macro sectors identified in their entirety represented in 2016</w:t>
      </w:r>
      <w:r w:rsidR="00015855">
        <w:t xml:space="preserve"> around</w:t>
      </w:r>
      <w:r>
        <w:t xml:space="preserve"> 84% of GHG CO2 equivalent in the EU. </w:t>
      </w:r>
    </w:p>
    <w:p w14:paraId="1ECAA4AD" w14:textId="77777777" w:rsidR="001C0EF6" w:rsidRDefault="001C0EF6" w:rsidP="002A5A2D">
      <w:pPr>
        <w:pStyle w:val="Zwykytekst"/>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6"/>
        <w:gridCol w:w="2046"/>
      </w:tblGrid>
      <w:tr w:rsidR="001C0EF6" w:rsidRPr="00826316" w14:paraId="1383CEAE" w14:textId="77777777" w:rsidTr="002A5A2D">
        <w:trPr>
          <w:trHeight w:val="300"/>
        </w:trPr>
        <w:tc>
          <w:tcPr>
            <w:tcW w:w="3893" w:type="pct"/>
            <w:shd w:val="clear" w:color="auto" w:fill="00B0F0"/>
            <w:noWrap/>
            <w:vAlign w:val="center"/>
            <w:hideMark/>
          </w:tcPr>
          <w:p w14:paraId="5F1C306D" w14:textId="77777777" w:rsidR="001C0EF6" w:rsidRPr="00F50349" w:rsidRDefault="001C0EF6" w:rsidP="002A5A2D">
            <w:pPr>
              <w:spacing w:before="20" w:after="20"/>
              <w:jc w:val="both"/>
              <w:rPr>
                <w:sz w:val="20"/>
                <w:szCs w:val="20"/>
                <w:lang w:eastAsia="en-GB"/>
              </w:rPr>
            </w:pPr>
            <w:r w:rsidRPr="00F50349">
              <w:rPr>
                <w:sz w:val="20"/>
                <w:szCs w:val="20"/>
                <w:lang w:eastAsia="en-GB"/>
              </w:rPr>
              <w:t xml:space="preserve">NACE Macro sector </w:t>
            </w:r>
          </w:p>
        </w:tc>
        <w:tc>
          <w:tcPr>
            <w:tcW w:w="1107" w:type="pct"/>
            <w:shd w:val="clear" w:color="auto" w:fill="00B0F0"/>
            <w:noWrap/>
            <w:vAlign w:val="center"/>
            <w:hideMark/>
          </w:tcPr>
          <w:p w14:paraId="577AAC8C" w14:textId="77777777" w:rsidR="001C0EF6" w:rsidRPr="00AF2503" w:rsidRDefault="001C0EF6" w:rsidP="002A5A2D">
            <w:pPr>
              <w:spacing w:before="20" w:after="20"/>
              <w:jc w:val="both"/>
              <w:rPr>
                <w:sz w:val="20"/>
                <w:szCs w:val="20"/>
                <w:lang w:val="fr-BE" w:eastAsia="en-GB"/>
              </w:rPr>
            </w:pPr>
            <w:r w:rsidRPr="00AF2503">
              <w:rPr>
                <w:sz w:val="20"/>
                <w:szCs w:val="20"/>
                <w:lang w:val="fr-BE" w:eastAsia="en-GB"/>
              </w:rPr>
              <w:t>GHG tonne CO2 eq (2016, provisional)</w:t>
            </w:r>
          </w:p>
          <w:p w14:paraId="183A66BB" w14:textId="77777777" w:rsidR="001C0EF6" w:rsidRPr="00AF2503" w:rsidRDefault="001C0EF6" w:rsidP="002A5A2D">
            <w:pPr>
              <w:spacing w:before="20" w:after="20"/>
              <w:jc w:val="both"/>
              <w:rPr>
                <w:sz w:val="20"/>
                <w:szCs w:val="20"/>
                <w:lang w:val="fr-BE" w:eastAsia="en-GB"/>
              </w:rPr>
            </w:pPr>
            <w:r w:rsidRPr="00AF2503">
              <w:rPr>
                <w:sz w:val="20"/>
                <w:szCs w:val="20"/>
                <w:lang w:val="fr-BE" w:eastAsia="en-GB"/>
              </w:rPr>
              <w:t>Source: ESTAT</w:t>
            </w:r>
          </w:p>
        </w:tc>
      </w:tr>
      <w:tr w:rsidR="001C0EF6" w:rsidRPr="00F50349" w14:paraId="32FF8C52" w14:textId="77777777" w:rsidTr="002A5A2D">
        <w:trPr>
          <w:trHeight w:val="300"/>
        </w:trPr>
        <w:tc>
          <w:tcPr>
            <w:tcW w:w="3893" w:type="pct"/>
            <w:shd w:val="clear" w:color="auto" w:fill="E2EFD9" w:themeFill="accent6" w:themeFillTint="33"/>
            <w:noWrap/>
            <w:vAlign w:val="center"/>
            <w:hideMark/>
          </w:tcPr>
          <w:p w14:paraId="429CAC46" w14:textId="77777777" w:rsidR="001C0EF6" w:rsidRPr="000C676E" w:rsidRDefault="001C0EF6" w:rsidP="002A5A2D">
            <w:pPr>
              <w:spacing w:before="20" w:after="20"/>
              <w:jc w:val="both"/>
              <w:rPr>
                <w:b/>
                <w:sz w:val="20"/>
                <w:szCs w:val="20"/>
                <w:lang w:eastAsia="en-GB"/>
              </w:rPr>
            </w:pPr>
            <w:r w:rsidRPr="000C676E">
              <w:rPr>
                <w:b/>
                <w:sz w:val="20"/>
                <w:szCs w:val="20"/>
                <w:lang w:eastAsia="en-GB"/>
              </w:rPr>
              <w:t>A - Agriculture, forestry and fishing</w:t>
            </w:r>
          </w:p>
        </w:tc>
        <w:tc>
          <w:tcPr>
            <w:tcW w:w="1107" w:type="pct"/>
            <w:shd w:val="clear" w:color="auto" w:fill="E2EFD9" w:themeFill="accent6" w:themeFillTint="33"/>
            <w:noWrap/>
            <w:vAlign w:val="center"/>
            <w:hideMark/>
          </w:tcPr>
          <w:p w14:paraId="0F89C2B6" w14:textId="77777777" w:rsidR="001C0EF6" w:rsidRPr="000C676E" w:rsidRDefault="001C0EF6" w:rsidP="00D772C4">
            <w:pPr>
              <w:spacing w:before="20" w:after="20"/>
              <w:jc w:val="right"/>
              <w:rPr>
                <w:b/>
                <w:sz w:val="20"/>
                <w:szCs w:val="20"/>
                <w:lang w:eastAsia="en-GB"/>
              </w:rPr>
            </w:pPr>
            <w:r w:rsidRPr="000C676E">
              <w:rPr>
                <w:b/>
                <w:sz w:val="20"/>
                <w:szCs w:val="20"/>
                <w:lang w:eastAsia="en-GB"/>
              </w:rPr>
              <w:t>534,586,391.92</w:t>
            </w:r>
          </w:p>
        </w:tc>
      </w:tr>
      <w:tr w:rsidR="001C0EF6" w:rsidRPr="00F50349" w14:paraId="0E20A07C" w14:textId="77777777" w:rsidTr="002A5A2D">
        <w:trPr>
          <w:trHeight w:val="300"/>
        </w:trPr>
        <w:tc>
          <w:tcPr>
            <w:tcW w:w="3893" w:type="pct"/>
            <w:shd w:val="clear" w:color="auto" w:fill="auto"/>
            <w:noWrap/>
            <w:vAlign w:val="center"/>
            <w:hideMark/>
          </w:tcPr>
          <w:p w14:paraId="10B6F537" w14:textId="77777777" w:rsidR="001C0EF6" w:rsidRPr="00F50349" w:rsidRDefault="001C0EF6" w:rsidP="002A5A2D">
            <w:pPr>
              <w:spacing w:before="20" w:after="20"/>
              <w:jc w:val="both"/>
              <w:rPr>
                <w:sz w:val="20"/>
                <w:szCs w:val="20"/>
                <w:lang w:eastAsia="en-GB"/>
              </w:rPr>
            </w:pPr>
            <w:r w:rsidRPr="00F50349">
              <w:rPr>
                <w:sz w:val="20"/>
                <w:szCs w:val="20"/>
                <w:lang w:eastAsia="en-GB"/>
              </w:rPr>
              <w:t>B - Mining and quarrying</w:t>
            </w:r>
          </w:p>
        </w:tc>
        <w:tc>
          <w:tcPr>
            <w:tcW w:w="1107" w:type="pct"/>
            <w:shd w:val="clear" w:color="auto" w:fill="auto"/>
            <w:noWrap/>
            <w:vAlign w:val="center"/>
            <w:hideMark/>
          </w:tcPr>
          <w:p w14:paraId="55EA0723" w14:textId="77777777" w:rsidR="001C0EF6" w:rsidRPr="00F50349" w:rsidRDefault="001C0EF6" w:rsidP="00D772C4">
            <w:pPr>
              <w:spacing w:before="20" w:after="20"/>
              <w:jc w:val="right"/>
              <w:rPr>
                <w:sz w:val="20"/>
                <w:szCs w:val="20"/>
                <w:lang w:eastAsia="en-GB"/>
              </w:rPr>
            </w:pPr>
            <w:r w:rsidRPr="00F50349">
              <w:rPr>
                <w:sz w:val="20"/>
                <w:szCs w:val="20"/>
                <w:lang w:eastAsia="en-GB"/>
              </w:rPr>
              <w:t>77,860,862.01</w:t>
            </w:r>
          </w:p>
        </w:tc>
      </w:tr>
      <w:tr w:rsidR="001C0EF6" w:rsidRPr="00F50349" w14:paraId="0B688510" w14:textId="77777777" w:rsidTr="002A5A2D">
        <w:trPr>
          <w:trHeight w:val="300"/>
        </w:trPr>
        <w:tc>
          <w:tcPr>
            <w:tcW w:w="3893" w:type="pct"/>
            <w:shd w:val="clear" w:color="auto" w:fill="E2EFD9" w:themeFill="accent6" w:themeFillTint="33"/>
            <w:noWrap/>
            <w:vAlign w:val="center"/>
            <w:hideMark/>
          </w:tcPr>
          <w:p w14:paraId="14B97590" w14:textId="77777777" w:rsidR="001C0EF6" w:rsidRPr="000C676E" w:rsidRDefault="001C0EF6" w:rsidP="002A5A2D">
            <w:pPr>
              <w:spacing w:before="20" w:after="20"/>
              <w:jc w:val="both"/>
              <w:rPr>
                <w:b/>
                <w:sz w:val="20"/>
                <w:szCs w:val="20"/>
                <w:lang w:eastAsia="en-GB"/>
              </w:rPr>
            </w:pPr>
            <w:r w:rsidRPr="000C676E">
              <w:rPr>
                <w:b/>
                <w:sz w:val="20"/>
                <w:szCs w:val="20"/>
                <w:lang w:eastAsia="en-GB"/>
              </w:rPr>
              <w:t>C – Manufacturing</w:t>
            </w:r>
          </w:p>
        </w:tc>
        <w:tc>
          <w:tcPr>
            <w:tcW w:w="1107" w:type="pct"/>
            <w:shd w:val="clear" w:color="auto" w:fill="E2EFD9" w:themeFill="accent6" w:themeFillTint="33"/>
            <w:noWrap/>
            <w:vAlign w:val="center"/>
            <w:hideMark/>
          </w:tcPr>
          <w:p w14:paraId="29DFD7DA" w14:textId="77777777" w:rsidR="001C0EF6" w:rsidRPr="000C676E" w:rsidRDefault="001C0EF6" w:rsidP="00D772C4">
            <w:pPr>
              <w:spacing w:before="20" w:after="20"/>
              <w:jc w:val="right"/>
              <w:rPr>
                <w:b/>
                <w:sz w:val="20"/>
                <w:szCs w:val="20"/>
                <w:lang w:eastAsia="en-GB"/>
              </w:rPr>
            </w:pPr>
            <w:r w:rsidRPr="000C676E">
              <w:rPr>
                <w:b/>
                <w:sz w:val="20"/>
                <w:szCs w:val="20"/>
                <w:lang w:eastAsia="en-GB"/>
              </w:rPr>
              <w:t>840,971,066.30</w:t>
            </w:r>
          </w:p>
        </w:tc>
      </w:tr>
      <w:tr w:rsidR="001C0EF6" w:rsidRPr="00F50349" w14:paraId="7C599AC7" w14:textId="77777777" w:rsidTr="002A5A2D">
        <w:trPr>
          <w:trHeight w:val="300"/>
        </w:trPr>
        <w:tc>
          <w:tcPr>
            <w:tcW w:w="3893" w:type="pct"/>
            <w:shd w:val="clear" w:color="auto" w:fill="E2EFD9" w:themeFill="accent6" w:themeFillTint="33"/>
            <w:noWrap/>
            <w:vAlign w:val="center"/>
            <w:hideMark/>
          </w:tcPr>
          <w:p w14:paraId="43C57980" w14:textId="77777777" w:rsidR="001C0EF6" w:rsidRPr="000C676E" w:rsidRDefault="001C0EF6" w:rsidP="002A5A2D">
            <w:pPr>
              <w:spacing w:before="20" w:after="20"/>
              <w:jc w:val="both"/>
              <w:rPr>
                <w:b/>
                <w:sz w:val="20"/>
                <w:szCs w:val="20"/>
                <w:lang w:eastAsia="en-GB"/>
              </w:rPr>
            </w:pPr>
            <w:r w:rsidRPr="000C676E">
              <w:rPr>
                <w:b/>
                <w:sz w:val="20"/>
                <w:szCs w:val="20"/>
                <w:lang w:eastAsia="en-GB"/>
              </w:rPr>
              <w:t>D - Electricity, gas, steam and air conditioning supply</w:t>
            </w:r>
          </w:p>
        </w:tc>
        <w:tc>
          <w:tcPr>
            <w:tcW w:w="1107" w:type="pct"/>
            <w:shd w:val="clear" w:color="auto" w:fill="E2EFD9" w:themeFill="accent6" w:themeFillTint="33"/>
            <w:noWrap/>
            <w:vAlign w:val="center"/>
            <w:hideMark/>
          </w:tcPr>
          <w:p w14:paraId="09D2F04E" w14:textId="77777777" w:rsidR="001C0EF6" w:rsidRPr="000C676E" w:rsidRDefault="001C0EF6" w:rsidP="00D772C4">
            <w:pPr>
              <w:spacing w:before="20" w:after="20"/>
              <w:jc w:val="right"/>
              <w:rPr>
                <w:b/>
                <w:sz w:val="20"/>
                <w:szCs w:val="20"/>
                <w:lang w:eastAsia="en-GB"/>
              </w:rPr>
            </w:pPr>
            <w:r w:rsidRPr="000C676E">
              <w:rPr>
                <w:b/>
                <w:sz w:val="20"/>
                <w:szCs w:val="20"/>
                <w:lang w:eastAsia="en-GB"/>
              </w:rPr>
              <w:t>1,098,083,546.14</w:t>
            </w:r>
          </w:p>
        </w:tc>
      </w:tr>
      <w:tr w:rsidR="001C0EF6" w:rsidRPr="00F50349" w14:paraId="0693A165" w14:textId="77777777" w:rsidTr="002A5A2D">
        <w:trPr>
          <w:trHeight w:val="300"/>
        </w:trPr>
        <w:tc>
          <w:tcPr>
            <w:tcW w:w="3893" w:type="pct"/>
            <w:shd w:val="clear" w:color="auto" w:fill="auto"/>
            <w:noWrap/>
            <w:vAlign w:val="center"/>
            <w:hideMark/>
          </w:tcPr>
          <w:p w14:paraId="1493B836" w14:textId="77777777" w:rsidR="001C0EF6" w:rsidRPr="00F50349" w:rsidRDefault="001C0EF6" w:rsidP="002A5A2D">
            <w:pPr>
              <w:spacing w:before="20" w:after="20"/>
              <w:jc w:val="both"/>
              <w:rPr>
                <w:sz w:val="20"/>
                <w:szCs w:val="20"/>
                <w:lang w:eastAsia="en-GB"/>
              </w:rPr>
            </w:pPr>
            <w:r w:rsidRPr="00F50349">
              <w:rPr>
                <w:sz w:val="20"/>
                <w:szCs w:val="20"/>
                <w:lang w:eastAsia="en-GB"/>
              </w:rPr>
              <w:t>E - Water supply; sewerage, waste management and remediation activities</w:t>
            </w:r>
          </w:p>
        </w:tc>
        <w:tc>
          <w:tcPr>
            <w:tcW w:w="1107" w:type="pct"/>
            <w:shd w:val="clear" w:color="auto" w:fill="auto"/>
            <w:noWrap/>
            <w:vAlign w:val="center"/>
            <w:hideMark/>
          </w:tcPr>
          <w:p w14:paraId="020EA319" w14:textId="77777777" w:rsidR="001C0EF6" w:rsidRPr="00F50349" w:rsidRDefault="001C0EF6" w:rsidP="00D772C4">
            <w:pPr>
              <w:spacing w:before="20" w:after="20"/>
              <w:jc w:val="right"/>
              <w:rPr>
                <w:sz w:val="20"/>
                <w:szCs w:val="20"/>
                <w:lang w:eastAsia="en-GB"/>
              </w:rPr>
            </w:pPr>
            <w:r w:rsidRPr="00F50349">
              <w:rPr>
                <w:sz w:val="20"/>
                <w:szCs w:val="20"/>
                <w:lang w:eastAsia="en-GB"/>
              </w:rPr>
              <w:t>161,564,425.09</w:t>
            </w:r>
          </w:p>
        </w:tc>
      </w:tr>
      <w:tr w:rsidR="001C0EF6" w:rsidRPr="00F50349" w14:paraId="64583993" w14:textId="77777777" w:rsidTr="002A5A2D">
        <w:trPr>
          <w:trHeight w:val="300"/>
        </w:trPr>
        <w:tc>
          <w:tcPr>
            <w:tcW w:w="3893" w:type="pct"/>
            <w:shd w:val="clear" w:color="auto" w:fill="auto"/>
            <w:noWrap/>
            <w:vAlign w:val="center"/>
            <w:hideMark/>
          </w:tcPr>
          <w:p w14:paraId="68A352B8" w14:textId="77777777" w:rsidR="001C0EF6" w:rsidRPr="00F50349" w:rsidRDefault="001C0EF6" w:rsidP="002A5A2D">
            <w:pPr>
              <w:spacing w:before="20" w:after="20"/>
              <w:jc w:val="both"/>
              <w:rPr>
                <w:sz w:val="20"/>
                <w:szCs w:val="20"/>
                <w:lang w:eastAsia="en-GB"/>
              </w:rPr>
            </w:pPr>
            <w:r w:rsidRPr="00F50349">
              <w:rPr>
                <w:sz w:val="20"/>
                <w:szCs w:val="20"/>
                <w:lang w:eastAsia="en-GB"/>
              </w:rPr>
              <w:t>F – Construction</w:t>
            </w:r>
          </w:p>
        </w:tc>
        <w:tc>
          <w:tcPr>
            <w:tcW w:w="1107" w:type="pct"/>
            <w:shd w:val="clear" w:color="auto" w:fill="auto"/>
            <w:noWrap/>
            <w:vAlign w:val="center"/>
            <w:hideMark/>
          </w:tcPr>
          <w:p w14:paraId="5CA94210" w14:textId="77777777" w:rsidR="001C0EF6" w:rsidRPr="00F50349" w:rsidRDefault="001C0EF6" w:rsidP="00D772C4">
            <w:pPr>
              <w:spacing w:before="20" w:after="20"/>
              <w:jc w:val="right"/>
              <w:rPr>
                <w:sz w:val="20"/>
                <w:szCs w:val="20"/>
                <w:lang w:eastAsia="en-GB"/>
              </w:rPr>
            </w:pPr>
            <w:r w:rsidRPr="00F50349">
              <w:rPr>
                <w:sz w:val="20"/>
                <w:szCs w:val="20"/>
                <w:lang w:eastAsia="en-GB"/>
              </w:rPr>
              <w:t>57,811,284.18</w:t>
            </w:r>
          </w:p>
        </w:tc>
      </w:tr>
      <w:tr w:rsidR="001C0EF6" w:rsidRPr="00F50349" w14:paraId="0E4983AA" w14:textId="77777777" w:rsidTr="002A5A2D">
        <w:trPr>
          <w:trHeight w:val="300"/>
        </w:trPr>
        <w:tc>
          <w:tcPr>
            <w:tcW w:w="3893" w:type="pct"/>
            <w:shd w:val="clear" w:color="auto" w:fill="auto"/>
            <w:noWrap/>
            <w:vAlign w:val="center"/>
            <w:hideMark/>
          </w:tcPr>
          <w:p w14:paraId="27A5AD79" w14:textId="77777777" w:rsidR="001C0EF6" w:rsidRPr="00F50349" w:rsidRDefault="001C0EF6" w:rsidP="002A5A2D">
            <w:pPr>
              <w:spacing w:before="20" w:after="20"/>
              <w:jc w:val="both"/>
              <w:rPr>
                <w:sz w:val="20"/>
                <w:szCs w:val="20"/>
                <w:lang w:eastAsia="en-GB"/>
              </w:rPr>
            </w:pPr>
            <w:r w:rsidRPr="00F50349">
              <w:rPr>
                <w:sz w:val="20"/>
                <w:szCs w:val="20"/>
                <w:lang w:eastAsia="en-GB"/>
              </w:rPr>
              <w:t>G - Wholesale and retail trade; repair of motor vehicles and motorcycles</w:t>
            </w:r>
          </w:p>
        </w:tc>
        <w:tc>
          <w:tcPr>
            <w:tcW w:w="1107" w:type="pct"/>
            <w:shd w:val="clear" w:color="auto" w:fill="auto"/>
            <w:noWrap/>
            <w:vAlign w:val="center"/>
            <w:hideMark/>
          </w:tcPr>
          <w:p w14:paraId="19FCB21B" w14:textId="77777777" w:rsidR="001C0EF6" w:rsidRPr="00F50349" w:rsidRDefault="001C0EF6" w:rsidP="00D772C4">
            <w:pPr>
              <w:spacing w:before="20" w:after="20"/>
              <w:jc w:val="right"/>
              <w:rPr>
                <w:sz w:val="20"/>
                <w:szCs w:val="20"/>
                <w:lang w:eastAsia="en-GB"/>
              </w:rPr>
            </w:pPr>
            <w:r w:rsidRPr="00F50349">
              <w:rPr>
                <w:sz w:val="20"/>
                <w:szCs w:val="20"/>
                <w:lang w:eastAsia="en-GB"/>
              </w:rPr>
              <w:t>77,391,486.34</w:t>
            </w:r>
          </w:p>
        </w:tc>
      </w:tr>
      <w:tr w:rsidR="001C0EF6" w:rsidRPr="00F50349" w14:paraId="33F69967" w14:textId="77777777" w:rsidTr="002A5A2D">
        <w:trPr>
          <w:trHeight w:val="300"/>
        </w:trPr>
        <w:tc>
          <w:tcPr>
            <w:tcW w:w="3893" w:type="pct"/>
            <w:shd w:val="clear" w:color="auto" w:fill="E2EFD9" w:themeFill="accent6" w:themeFillTint="33"/>
            <w:noWrap/>
            <w:vAlign w:val="center"/>
            <w:hideMark/>
          </w:tcPr>
          <w:p w14:paraId="354CB9AB" w14:textId="77777777" w:rsidR="001C0EF6" w:rsidRPr="000C676E" w:rsidRDefault="001C0EF6" w:rsidP="002A5A2D">
            <w:pPr>
              <w:spacing w:before="20" w:after="20"/>
              <w:jc w:val="both"/>
              <w:rPr>
                <w:b/>
                <w:sz w:val="20"/>
                <w:szCs w:val="20"/>
                <w:lang w:eastAsia="en-GB"/>
              </w:rPr>
            </w:pPr>
            <w:r w:rsidRPr="000C676E">
              <w:rPr>
                <w:b/>
                <w:sz w:val="20"/>
                <w:szCs w:val="20"/>
                <w:lang w:eastAsia="en-GB"/>
              </w:rPr>
              <w:t>H - Transportation and storage</w:t>
            </w:r>
          </w:p>
        </w:tc>
        <w:tc>
          <w:tcPr>
            <w:tcW w:w="1107" w:type="pct"/>
            <w:shd w:val="clear" w:color="auto" w:fill="E2EFD9" w:themeFill="accent6" w:themeFillTint="33"/>
            <w:noWrap/>
            <w:vAlign w:val="center"/>
            <w:hideMark/>
          </w:tcPr>
          <w:p w14:paraId="5B7BB5B4" w14:textId="77777777" w:rsidR="001C0EF6" w:rsidRPr="000C676E" w:rsidRDefault="001C0EF6" w:rsidP="00D772C4">
            <w:pPr>
              <w:spacing w:before="20" w:after="20"/>
              <w:jc w:val="right"/>
              <w:rPr>
                <w:b/>
                <w:sz w:val="20"/>
                <w:szCs w:val="20"/>
                <w:lang w:eastAsia="en-GB"/>
              </w:rPr>
            </w:pPr>
            <w:r w:rsidRPr="000C676E">
              <w:rPr>
                <w:b/>
                <w:sz w:val="20"/>
                <w:szCs w:val="20"/>
                <w:lang w:eastAsia="en-GB"/>
              </w:rPr>
              <w:t>503,630,311.73</w:t>
            </w:r>
          </w:p>
        </w:tc>
      </w:tr>
      <w:tr w:rsidR="001C0EF6" w:rsidRPr="00F50349" w14:paraId="51FED6BE" w14:textId="77777777" w:rsidTr="002A5A2D">
        <w:trPr>
          <w:trHeight w:val="300"/>
        </w:trPr>
        <w:tc>
          <w:tcPr>
            <w:tcW w:w="3893" w:type="pct"/>
            <w:shd w:val="clear" w:color="auto" w:fill="auto"/>
            <w:noWrap/>
            <w:vAlign w:val="center"/>
            <w:hideMark/>
          </w:tcPr>
          <w:p w14:paraId="1667C42F" w14:textId="77777777" w:rsidR="001C0EF6" w:rsidRPr="00F50349" w:rsidRDefault="001C0EF6" w:rsidP="002A5A2D">
            <w:pPr>
              <w:spacing w:before="20" w:after="20"/>
              <w:jc w:val="both"/>
              <w:rPr>
                <w:sz w:val="20"/>
                <w:szCs w:val="20"/>
                <w:lang w:eastAsia="en-GB"/>
              </w:rPr>
            </w:pPr>
            <w:r w:rsidRPr="00F50349">
              <w:rPr>
                <w:sz w:val="20"/>
                <w:szCs w:val="20"/>
                <w:lang w:eastAsia="en-GB"/>
              </w:rPr>
              <w:t>I - Accommodation and food service activities</w:t>
            </w:r>
          </w:p>
        </w:tc>
        <w:tc>
          <w:tcPr>
            <w:tcW w:w="1107" w:type="pct"/>
            <w:shd w:val="clear" w:color="auto" w:fill="auto"/>
            <w:noWrap/>
            <w:vAlign w:val="center"/>
            <w:hideMark/>
          </w:tcPr>
          <w:p w14:paraId="25DE08A8" w14:textId="77777777" w:rsidR="001C0EF6" w:rsidRPr="00F50349" w:rsidRDefault="001C0EF6" w:rsidP="00D772C4">
            <w:pPr>
              <w:spacing w:before="20" w:after="20"/>
              <w:jc w:val="right"/>
              <w:rPr>
                <w:sz w:val="20"/>
                <w:szCs w:val="20"/>
                <w:lang w:eastAsia="en-GB"/>
              </w:rPr>
            </w:pPr>
            <w:r w:rsidRPr="00F50349">
              <w:rPr>
                <w:sz w:val="20"/>
                <w:szCs w:val="20"/>
                <w:lang w:eastAsia="en-GB"/>
              </w:rPr>
              <w:t>18,598,937.77</w:t>
            </w:r>
          </w:p>
        </w:tc>
      </w:tr>
      <w:tr w:rsidR="001C0EF6" w:rsidRPr="00F50349" w14:paraId="4A963CAA" w14:textId="77777777" w:rsidTr="002A5A2D">
        <w:trPr>
          <w:trHeight w:val="300"/>
        </w:trPr>
        <w:tc>
          <w:tcPr>
            <w:tcW w:w="3893" w:type="pct"/>
            <w:shd w:val="clear" w:color="auto" w:fill="auto"/>
            <w:noWrap/>
            <w:vAlign w:val="center"/>
            <w:hideMark/>
          </w:tcPr>
          <w:p w14:paraId="38811C54" w14:textId="77777777" w:rsidR="001C0EF6" w:rsidRPr="00F50349" w:rsidRDefault="001C0EF6" w:rsidP="002A5A2D">
            <w:pPr>
              <w:spacing w:before="20" w:after="20"/>
              <w:jc w:val="both"/>
              <w:rPr>
                <w:sz w:val="20"/>
                <w:szCs w:val="20"/>
                <w:lang w:eastAsia="en-GB"/>
              </w:rPr>
            </w:pPr>
            <w:r w:rsidRPr="00F50349">
              <w:rPr>
                <w:sz w:val="20"/>
                <w:szCs w:val="20"/>
                <w:lang w:eastAsia="en-GB"/>
              </w:rPr>
              <w:t>J - Information and communication</w:t>
            </w:r>
          </w:p>
        </w:tc>
        <w:tc>
          <w:tcPr>
            <w:tcW w:w="1107" w:type="pct"/>
            <w:shd w:val="clear" w:color="auto" w:fill="auto"/>
            <w:noWrap/>
            <w:vAlign w:val="center"/>
            <w:hideMark/>
          </w:tcPr>
          <w:p w14:paraId="4C288C2B" w14:textId="77777777" w:rsidR="001C0EF6" w:rsidRPr="00F50349" w:rsidRDefault="001C0EF6" w:rsidP="00D772C4">
            <w:pPr>
              <w:spacing w:before="20" w:after="20"/>
              <w:jc w:val="right"/>
              <w:rPr>
                <w:sz w:val="20"/>
                <w:szCs w:val="20"/>
                <w:lang w:eastAsia="en-GB"/>
              </w:rPr>
            </w:pPr>
            <w:r w:rsidRPr="00F50349">
              <w:rPr>
                <w:sz w:val="20"/>
                <w:szCs w:val="20"/>
                <w:lang w:eastAsia="en-GB"/>
              </w:rPr>
              <w:t>10,346,281.06</w:t>
            </w:r>
          </w:p>
        </w:tc>
      </w:tr>
      <w:tr w:rsidR="001C0EF6" w:rsidRPr="00F50349" w14:paraId="4D8EDA4A" w14:textId="77777777" w:rsidTr="002A5A2D">
        <w:trPr>
          <w:trHeight w:val="300"/>
        </w:trPr>
        <w:tc>
          <w:tcPr>
            <w:tcW w:w="3893" w:type="pct"/>
            <w:shd w:val="clear" w:color="auto" w:fill="auto"/>
            <w:noWrap/>
            <w:vAlign w:val="center"/>
            <w:hideMark/>
          </w:tcPr>
          <w:p w14:paraId="00A226F2" w14:textId="77777777" w:rsidR="001C0EF6" w:rsidRPr="00F50349" w:rsidRDefault="001C0EF6" w:rsidP="002A5A2D">
            <w:pPr>
              <w:spacing w:before="20" w:after="20"/>
              <w:jc w:val="both"/>
              <w:rPr>
                <w:sz w:val="20"/>
                <w:szCs w:val="20"/>
                <w:lang w:eastAsia="en-GB"/>
              </w:rPr>
            </w:pPr>
            <w:r w:rsidRPr="00F50349">
              <w:rPr>
                <w:sz w:val="20"/>
                <w:szCs w:val="20"/>
                <w:lang w:eastAsia="en-GB"/>
              </w:rPr>
              <w:t>K - Financial and insurance activities</w:t>
            </w:r>
          </w:p>
        </w:tc>
        <w:tc>
          <w:tcPr>
            <w:tcW w:w="1107" w:type="pct"/>
            <w:shd w:val="clear" w:color="auto" w:fill="auto"/>
            <w:noWrap/>
            <w:vAlign w:val="center"/>
            <w:hideMark/>
          </w:tcPr>
          <w:p w14:paraId="67BCB594" w14:textId="77777777" w:rsidR="001C0EF6" w:rsidRPr="00F50349" w:rsidRDefault="001C0EF6" w:rsidP="00D772C4">
            <w:pPr>
              <w:spacing w:before="20" w:after="20"/>
              <w:jc w:val="right"/>
              <w:rPr>
                <w:sz w:val="20"/>
                <w:szCs w:val="20"/>
                <w:lang w:eastAsia="en-GB"/>
              </w:rPr>
            </w:pPr>
            <w:r w:rsidRPr="00F50349">
              <w:rPr>
                <w:sz w:val="20"/>
                <w:szCs w:val="20"/>
                <w:lang w:eastAsia="en-GB"/>
              </w:rPr>
              <w:t>7,035,014.10</w:t>
            </w:r>
          </w:p>
        </w:tc>
      </w:tr>
      <w:tr w:rsidR="001C0EF6" w:rsidRPr="00F50349" w14:paraId="74E077E6" w14:textId="77777777" w:rsidTr="002A5A2D">
        <w:trPr>
          <w:trHeight w:val="300"/>
        </w:trPr>
        <w:tc>
          <w:tcPr>
            <w:tcW w:w="3893" w:type="pct"/>
            <w:shd w:val="clear" w:color="auto" w:fill="auto"/>
            <w:noWrap/>
            <w:vAlign w:val="center"/>
            <w:hideMark/>
          </w:tcPr>
          <w:p w14:paraId="7C5920EC" w14:textId="77777777" w:rsidR="001C0EF6" w:rsidRPr="00F50349" w:rsidRDefault="001C0EF6" w:rsidP="002A5A2D">
            <w:pPr>
              <w:spacing w:before="20" w:after="20"/>
              <w:jc w:val="both"/>
              <w:rPr>
                <w:sz w:val="20"/>
                <w:szCs w:val="20"/>
                <w:lang w:eastAsia="en-GB"/>
              </w:rPr>
            </w:pPr>
            <w:r w:rsidRPr="00F50349">
              <w:rPr>
                <w:sz w:val="20"/>
                <w:szCs w:val="20"/>
                <w:lang w:eastAsia="en-GB"/>
              </w:rPr>
              <w:t>L - Real estate activities</w:t>
            </w:r>
          </w:p>
        </w:tc>
        <w:tc>
          <w:tcPr>
            <w:tcW w:w="1107" w:type="pct"/>
            <w:shd w:val="clear" w:color="auto" w:fill="auto"/>
            <w:noWrap/>
            <w:vAlign w:val="center"/>
            <w:hideMark/>
          </w:tcPr>
          <w:p w14:paraId="0250E7FD" w14:textId="77777777" w:rsidR="001C0EF6" w:rsidRPr="00F50349" w:rsidRDefault="001C0EF6" w:rsidP="00D772C4">
            <w:pPr>
              <w:spacing w:before="20" w:after="20"/>
              <w:jc w:val="right"/>
              <w:rPr>
                <w:sz w:val="20"/>
                <w:szCs w:val="20"/>
                <w:lang w:eastAsia="en-GB"/>
              </w:rPr>
            </w:pPr>
            <w:r w:rsidRPr="00F50349">
              <w:rPr>
                <w:sz w:val="20"/>
                <w:szCs w:val="20"/>
                <w:lang w:eastAsia="en-GB"/>
              </w:rPr>
              <w:t>5,830,066.52</w:t>
            </w:r>
          </w:p>
        </w:tc>
      </w:tr>
      <w:tr w:rsidR="001C0EF6" w:rsidRPr="00F50349" w14:paraId="4496A918" w14:textId="77777777" w:rsidTr="002A5A2D">
        <w:trPr>
          <w:trHeight w:val="300"/>
        </w:trPr>
        <w:tc>
          <w:tcPr>
            <w:tcW w:w="3893" w:type="pct"/>
            <w:shd w:val="clear" w:color="auto" w:fill="auto"/>
            <w:noWrap/>
            <w:vAlign w:val="center"/>
            <w:hideMark/>
          </w:tcPr>
          <w:p w14:paraId="6264AC17" w14:textId="77777777" w:rsidR="001C0EF6" w:rsidRPr="00F50349" w:rsidRDefault="001C0EF6" w:rsidP="002A5A2D">
            <w:pPr>
              <w:spacing w:before="20" w:after="20"/>
              <w:jc w:val="both"/>
              <w:rPr>
                <w:sz w:val="20"/>
                <w:szCs w:val="20"/>
                <w:lang w:eastAsia="en-GB"/>
              </w:rPr>
            </w:pPr>
            <w:r w:rsidRPr="00F50349">
              <w:rPr>
                <w:sz w:val="20"/>
                <w:szCs w:val="20"/>
                <w:lang w:eastAsia="en-GB"/>
              </w:rPr>
              <w:t>M - Professional, scientific and technical activities</w:t>
            </w:r>
          </w:p>
        </w:tc>
        <w:tc>
          <w:tcPr>
            <w:tcW w:w="1107" w:type="pct"/>
            <w:shd w:val="clear" w:color="auto" w:fill="auto"/>
            <w:noWrap/>
            <w:vAlign w:val="center"/>
            <w:hideMark/>
          </w:tcPr>
          <w:p w14:paraId="4B2AD0BC" w14:textId="77777777" w:rsidR="001C0EF6" w:rsidRPr="00F50349" w:rsidRDefault="001C0EF6" w:rsidP="00D772C4">
            <w:pPr>
              <w:spacing w:before="20" w:after="20"/>
              <w:jc w:val="right"/>
              <w:rPr>
                <w:sz w:val="20"/>
                <w:szCs w:val="20"/>
                <w:lang w:eastAsia="en-GB"/>
              </w:rPr>
            </w:pPr>
            <w:r w:rsidRPr="00F50349">
              <w:rPr>
                <w:sz w:val="20"/>
                <w:szCs w:val="20"/>
                <w:lang w:eastAsia="en-GB"/>
              </w:rPr>
              <w:t>19,439,533.18</w:t>
            </w:r>
          </w:p>
        </w:tc>
      </w:tr>
      <w:tr w:rsidR="001C0EF6" w:rsidRPr="00F50349" w14:paraId="77ADC595" w14:textId="77777777" w:rsidTr="002A5A2D">
        <w:trPr>
          <w:trHeight w:val="300"/>
        </w:trPr>
        <w:tc>
          <w:tcPr>
            <w:tcW w:w="3893" w:type="pct"/>
            <w:shd w:val="clear" w:color="auto" w:fill="auto"/>
            <w:noWrap/>
            <w:vAlign w:val="center"/>
            <w:hideMark/>
          </w:tcPr>
          <w:p w14:paraId="62E1CDAA" w14:textId="77777777" w:rsidR="001C0EF6" w:rsidRPr="00F50349" w:rsidRDefault="001C0EF6" w:rsidP="002A5A2D">
            <w:pPr>
              <w:spacing w:before="20" w:after="20"/>
              <w:jc w:val="both"/>
              <w:rPr>
                <w:sz w:val="20"/>
                <w:szCs w:val="20"/>
                <w:lang w:eastAsia="en-GB"/>
              </w:rPr>
            </w:pPr>
            <w:r w:rsidRPr="00F50349">
              <w:rPr>
                <w:sz w:val="20"/>
                <w:szCs w:val="20"/>
                <w:lang w:eastAsia="en-GB"/>
              </w:rPr>
              <w:t>N - Administrative and support service activities</w:t>
            </w:r>
          </w:p>
        </w:tc>
        <w:tc>
          <w:tcPr>
            <w:tcW w:w="1107" w:type="pct"/>
            <w:shd w:val="clear" w:color="auto" w:fill="auto"/>
            <w:noWrap/>
            <w:vAlign w:val="center"/>
            <w:hideMark/>
          </w:tcPr>
          <w:p w14:paraId="0B9BEBB2" w14:textId="77777777" w:rsidR="001C0EF6" w:rsidRPr="00F50349" w:rsidRDefault="001C0EF6" w:rsidP="00D772C4">
            <w:pPr>
              <w:spacing w:before="20" w:after="20"/>
              <w:jc w:val="right"/>
              <w:rPr>
                <w:sz w:val="20"/>
                <w:szCs w:val="20"/>
                <w:lang w:eastAsia="en-GB"/>
              </w:rPr>
            </w:pPr>
            <w:r w:rsidRPr="00F50349">
              <w:rPr>
                <w:sz w:val="20"/>
                <w:szCs w:val="20"/>
                <w:lang w:eastAsia="en-GB"/>
              </w:rPr>
              <w:t>23,549,820.72</w:t>
            </w:r>
          </w:p>
        </w:tc>
      </w:tr>
      <w:tr w:rsidR="001C0EF6" w:rsidRPr="00F50349" w14:paraId="403508BE" w14:textId="77777777" w:rsidTr="002A5A2D">
        <w:trPr>
          <w:trHeight w:val="300"/>
        </w:trPr>
        <w:tc>
          <w:tcPr>
            <w:tcW w:w="3893" w:type="pct"/>
            <w:shd w:val="clear" w:color="auto" w:fill="auto"/>
            <w:noWrap/>
            <w:vAlign w:val="center"/>
            <w:hideMark/>
          </w:tcPr>
          <w:p w14:paraId="6081CEA0" w14:textId="77777777" w:rsidR="001C0EF6" w:rsidRPr="00F50349" w:rsidRDefault="001C0EF6" w:rsidP="002A5A2D">
            <w:pPr>
              <w:spacing w:before="20" w:after="20"/>
              <w:jc w:val="both"/>
              <w:rPr>
                <w:sz w:val="20"/>
                <w:szCs w:val="20"/>
                <w:lang w:eastAsia="en-GB"/>
              </w:rPr>
            </w:pPr>
            <w:r w:rsidRPr="00F50349">
              <w:rPr>
                <w:sz w:val="20"/>
                <w:szCs w:val="20"/>
                <w:lang w:eastAsia="en-GB"/>
              </w:rPr>
              <w:t>O - Public administration and defence; compulsory social security</w:t>
            </w:r>
          </w:p>
        </w:tc>
        <w:tc>
          <w:tcPr>
            <w:tcW w:w="1107" w:type="pct"/>
            <w:shd w:val="clear" w:color="auto" w:fill="auto"/>
            <w:noWrap/>
            <w:vAlign w:val="center"/>
            <w:hideMark/>
          </w:tcPr>
          <w:p w14:paraId="6EE0C6BC" w14:textId="77777777" w:rsidR="001C0EF6" w:rsidRPr="00F50349" w:rsidRDefault="001C0EF6" w:rsidP="00D772C4">
            <w:pPr>
              <w:spacing w:before="20" w:after="20"/>
              <w:jc w:val="right"/>
              <w:rPr>
                <w:sz w:val="20"/>
                <w:szCs w:val="20"/>
                <w:lang w:eastAsia="en-GB"/>
              </w:rPr>
            </w:pPr>
            <w:r w:rsidRPr="00F50349">
              <w:rPr>
                <w:sz w:val="20"/>
                <w:szCs w:val="20"/>
                <w:lang w:eastAsia="en-GB"/>
              </w:rPr>
              <w:t>29,552,649.98</w:t>
            </w:r>
          </w:p>
        </w:tc>
      </w:tr>
      <w:tr w:rsidR="001C0EF6" w:rsidRPr="00F50349" w14:paraId="3A5153D4" w14:textId="77777777" w:rsidTr="002A5A2D">
        <w:trPr>
          <w:trHeight w:val="300"/>
        </w:trPr>
        <w:tc>
          <w:tcPr>
            <w:tcW w:w="3893" w:type="pct"/>
            <w:shd w:val="clear" w:color="auto" w:fill="auto"/>
            <w:noWrap/>
            <w:vAlign w:val="center"/>
            <w:hideMark/>
          </w:tcPr>
          <w:p w14:paraId="4D9D30F9" w14:textId="77777777" w:rsidR="001C0EF6" w:rsidRPr="00F50349" w:rsidRDefault="001C0EF6" w:rsidP="002A5A2D">
            <w:pPr>
              <w:spacing w:before="20" w:after="20"/>
              <w:jc w:val="both"/>
              <w:rPr>
                <w:sz w:val="20"/>
                <w:szCs w:val="20"/>
                <w:lang w:eastAsia="en-GB"/>
              </w:rPr>
            </w:pPr>
            <w:r w:rsidRPr="00F50349">
              <w:rPr>
                <w:sz w:val="20"/>
                <w:szCs w:val="20"/>
                <w:lang w:eastAsia="en-GB"/>
              </w:rPr>
              <w:t>P – Education</w:t>
            </w:r>
          </w:p>
        </w:tc>
        <w:tc>
          <w:tcPr>
            <w:tcW w:w="1107" w:type="pct"/>
            <w:shd w:val="clear" w:color="auto" w:fill="auto"/>
            <w:noWrap/>
            <w:vAlign w:val="center"/>
            <w:hideMark/>
          </w:tcPr>
          <w:p w14:paraId="226C9308" w14:textId="77777777" w:rsidR="001C0EF6" w:rsidRPr="00F50349" w:rsidRDefault="001C0EF6" w:rsidP="00D772C4">
            <w:pPr>
              <w:spacing w:before="20" w:after="20"/>
              <w:jc w:val="right"/>
              <w:rPr>
                <w:sz w:val="20"/>
                <w:szCs w:val="20"/>
                <w:lang w:eastAsia="en-GB"/>
              </w:rPr>
            </w:pPr>
            <w:r w:rsidRPr="00F50349">
              <w:rPr>
                <w:sz w:val="20"/>
                <w:szCs w:val="20"/>
                <w:lang w:eastAsia="en-GB"/>
              </w:rPr>
              <w:t>17,999,543.73</w:t>
            </w:r>
          </w:p>
        </w:tc>
      </w:tr>
      <w:tr w:rsidR="001C0EF6" w:rsidRPr="00F50349" w14:paraId="79A13FF3" w14:textId="77777777" w:rsidTr="002A5A2D">
        <w:trPr>
          <w:trHeight w:val="300"/>
        </w:trPr>
        <w:tc>
          <w:tcPr>
            <w:tcW w:w="3893" w:type="pct"/>
            <w:shd w:val="clear" w:color="auto" w:fill="auto"/>
            <w:noWrap/>
            <w:vAlign w:val="center"/>
            <w:hideMark/>
          </w:tcPr>
          <w:p w14:paraId="5D09AF26" w14:textId="77777777" w:rsidR="001C0EF6" w:rsidRPr="00F50349" w:rsidRDefault="001C0EF6" w:rsidP="002A5A2D">
            <w:pPr>
              <w:spacing w:before="20" w:after="20"/>
              <w:jc w:val="both"/>
              <w:rPr>
                <w:sz w:val="20"/>
                <w:szCs w:val="20"/>
                <w:lang w:eastAsia="en-GB"/>
              </w:rPr>
            </w:pPr>
            <w:r w:rsidRPr="00F50349">
              <w:rPr>
                <w:sz w:val="20"/>
                <w:szCs w:val="20"/>
                <w:lang w:eastAsia="en-GB"/>
              </w:rPr>
              <w:t>Q - Human health and social work activities</w:t>
            </w:r>
          </w:p>
        </w:tc>
        <w:tc>
          <w:tcPr>
            <w:tcW w:w="1107" w:type="pct"/>
            <w:shd w:val="clear" w:color="auto" w:fill="auto"/>
            <w:noWrap/>
            <w:vAlign w:val="center"/>
            <w:hideMark/>
          </w:tcPr>
          <w:p w14:paraId="57913B6A" w14:textId="77777777" w:rsidR="001C0EF6" w:rsidRPr="00F50349" w:rsidRDefault="001C0EF6" w:rsidP="00D772C4">
            <w:pPr>
              <w:spacing w:before="20" w:after="20"/>
              <w:jc w:val="right"/>
              <w:rPr>
                <w:sz w:val="20"/>
                <w:szCs w:val="20"/>
                <w:lang w:eastAsia="en-GB"/>
              </w:rPr>
            </w:pPr>
            <w:r w:rsidRPr="00F50349">
              <w:rPr>
                <w:sz w:val="20"/>
                <w:szCs w:val="20"/>
                <w:lang w:eastAsia="en-GB"/>
              </w:rPr>
              <w:t>30,093,334.93</w:t>
            </w:r>
          </w:p>
        </w:tc>
      </w:tr>
      <w:tr w:rsidR="001C0EF6" w:rsidRPr="00F50349" w14:paraId="1188A3F9" w14:textId="77777777" w:rsidTr="002A5A2D">
        <w:trPr>
          <w:trHeight w:val="300"/>
        </w:trPr>
        <w:tc>
          <w:tcPr>
            <w:tcW w:w="3893" w:type="pct"/>
            <w:shd w:val="clear" w:color="auto" w:fill="auto"/>
            <w:noWrap/>
            <w:vAlign w:val="center"/>
            <w:hideMark/>
          </w:tcPr>
          <w:p w14:paraId="3A1F4371" w14:textId="77777777" w:rsidR="001C0EF6" w:rsidRPr="00F50349" w:rsidRDefault="001C0EF6" w:rsidP="002A5A2D">
            <w:pPr>
              <w:spacing w:before="20" w:after="20"/>
              <w:jc w:val="both"/>
              <w:rPr>
                <w:sz w:val="20"/>
                <w:szCs w:val="20"/>
                <w:lang w:eastAsia="en-GB"/>
              </w:rPr>
            </w:pPr>
            <w:r w:rsidRPr="00F50349">
              <w:rPr>
                <w:sz w:val="20"/>
                <w:szCs w:val="20"/>
                <w:lang w:eastAsia="en-GB"/>
              </w:rPr>
              <w:t>R - Arts, entertainment and recreation</w:t>
            </w:r>
          </w:p>
        </w:tc>
        <w:tc>
          <w:tcPr>
            <w:tcW w:w="1107" w:type="pct"/>
            <w:shd w:val="clear" w:color="auto" w:fill="auto"/>
            <w:noWrap/>
            <w:vAlign w:val="center"/>
            <w:hideMark/>
          </w:tcPr>
          <w:p w14:paraId="5C6B0AC2" w14:textId="77777777" w:rsidR="001C0EF6" w:rsidRPr="00F50349" w:rsidRDefault="001C0EF6" w:rsidP="00D772C4">
            <w:pPr>
              <w:spacing w:before="20" w:after="20"/>
              <w:jc w:val="right"/>
              <w:rPr>
                <w:sz w:val="20"/>
                <w:szCs w:val="20"/>
                <w:lang w:eastAsia="en-GB"/>
              </w:rPr>
            </w:pPr>
            <w:r w:rsidRPr="00F50349">
              <w:rPr>
                <w:sz w:val="20"/>
                <w:szCs w:val="20"/>
                <w:lang w:eastAsia="en-GB"/>
              </w:rPr>
              <w:t>7,145,887.39</w:t>
            </w:r>
          </w:p>
        </w:tc>
      </w:tr>
      <w:tr w:rsidR="001C0EF6" w:rsidRPr="00F50349" w14:paraId="2EF0D5C8" w14:textId="77777777" w:rsidTr="002A5A2D">
        <w:trPr>
          <w:trHeight w:val="300"/>
        </w:trPr>
        <w:tc>
          <w:tcPr>
            <w:tcW w:w="3893" w:type="pct"/>
            <w:shd w:val="clear" w:color="auto" w:fill="auto"/>
            <w:noWrap/>
            <w:vAlign w:val="center"/>
            <w:hideMark/>
          </w:tcPr>
          <w:p w14:paraId="420745B9" w14:textId="77777777" w:rsidR="001C0EF6" w:rsidRPr="00F50349" w:rsidRDefault="001C0EF6" w:rsidP="002A5A2D">
            <w:pPr>
              <w:spacing w:before="20" w:after="20"/>
              <w:jc w:val="both"/>
              <w:rPr>
                <w:sz w:val="20"/>
                <w:szCs w:val="20"/>
                <w:lang w:eastAsia="en-GB"/>
              </w:rPr>
            </w:pPr>
            <w:r w:rsidRPr="00F50349">
              <w:rPr>
                <w:sz w:val="20"/>
                <w:szCs w:val="20"/>
                <w:lang w:eastAsia="en-GB"/>
              </w:rPr>
              <w:t>S - Other service activities</w:t>
            </w:r>
          </w:p>
        </w:tc>
        <w:tc>
          <w:tcPr>
            <w:tcW w:w="1107" w:type="pct"/>
            <w:shd w:val="clear" w:color="auto" w:fill="auto"/>
            <w:noWrap/>
            <w:vAlign w:val="center"/>
            <w:hideMark/>
          </w:tcPr>
          <w:p w14:paraId="2C0AA1E0" w14:textId="77777777" w:rsidR="001C0EF6" w:rsidRPr="00F50349" w:rsidRDefault="001C0EF6" w:rsidP="00D772C4">
            <w:pPr>
              <w:spacing w:before="20" w:after="20"/>
              <w:jc w:val="right"/>
              <w:rPr>
                <w:sz w:val="20"/>
                <w:szCs w:val="20"/>
                <w:lang w:eastAsia="en-GB"/>
              </w:rPr>
            </w:pPr>
            <w:r w:rsidRPr="00F50349">
              <w:rPr>
                <w:sz w:val="20"/>
                <w:szCs w:val="20"/>
                <w:lang w:eastAsia="en-GB"/>
              </w:rPr>
              <w:t>9,893,256.85</w:t>
            </w:r>
          </w:p>
        </w:tc>
      </w:tr>
      <w:tr w:rsidR="001C0EF6" w:rsidRPr="00F50349" w14:paraId="444CAACB" w14:textId="77777777" w:rsidTr="002A5A2D">
        <w:trPr>
          <w:trHeight w:val="300"/>
        </w:trPr>
        <w:tc>
          <w:tcPr>
            <w:tcW w:w="3893" w:type="pct"/>
            <w:shd w:val="clear" w:color="auto" w:fill="auto"/>
            <w:noWrap/>
            <w:vAlign w:val="center"/>
            <w:hideMark/>
          </w:tcPr>
          <w:p w14:paraId="68463777" w14:textId="77777777" w:rsidR="001C0EF6" w:rsidRPr="00F50349" w:rsidRDefault="001C0EF6" w:rsidP="002A5A2D">
            <w:pPr>
              <w:spacing w:before="20" w:after="20"/>
              <w:jc w:val="both"/>
              <w:rPr>
                <w:sz w:val="20"/>
                <w:szCs w:val="20"/>
                <w:lang w:eastAsia="en-GB"/>
              </w:rPr>
            </w:pPr>
            <w:r w:rsidRPr="00F50349">
              <w:rPr>
                <w:sz w:val="20"/>
                <w:szCs w:val="20"/>
                <w:lang w:eastAsia="en-GB"/>
              </w:rPr>
              <w:t>T - Activities of households as employers; undifferentiated goods- and services-producing activities of households for own use</w:t>
            </w:r>
          </w:p>
        </w:tc>
        <w:tc>
          <w:tcPr>
            <w:tcW w:w="1107" w:type="pct"/>
            <w:shd w:val="clear" w:color="auto" w:fill="auto"/>
            <w:noWrap/>
            <w:vAlign w:val="center"/>
            <w:hideMark/>
          </w:tcPr>
          <w:p w14:paraId="68CAB9F4" w14:textId="77777777" w:rsidR="001C0EF6" w:rsidRPr="00F50349" w:rsidRDefault="001C0EF6" w:rsidP="00D772C4">
            <w:pPr>
              <w:spacing w:before="20" w:after="20"/>
              <w:jc w:val="right"/>
              <w:rPr>
                <w:sz w:val="20"/>
                <w:szCs w:val="20"/>
                <w:lang w:eastAsia="en-GB"/>
              </w:rPr>
            </w:pPr>
            <w:r w:rsidRPr="00F50349">
              <w:rPr>
                <w:sz w:val="20"/>
                <w:szCs w:val="20"/>
                <w:lang w:eastAsia="en-GB"/>
              </w:rPr>
              <w:t>356,091.23</w:t>
            </w:r>
          </w:p>
        </w:tc>
      </w:tr>
      <w:tr w:rsidR="001C0EF6" w:rsidRPr="00F50349" w14:paraId="30A8BF9F" w14:textId="77777777" w:rsidTr="002A5A2D">
        <w:trPr>
          <w:trHeight w:val="300"/>
        </w:trPr>
        <w:tc>
          <w:tcPr>
            <w:tcW w:w="3893" w:type="pct"/>
            <w:shd w:val="clear" w:color="auto" w:fill="auto"/>
            <w:noWrap/>
            <w:vAlign w:val="center"/>
            <w:hideMark/>
          </w:tcPr>
          <w:p w14:paraId="4C410FD4" w14:textId="77777777" w:rsidR="001C0EF6" w:rsidRPr="00F50349" w:rsidRDefault="001C0EF6" w:rsidP="002A5A2D">
            <w:pPr>
              <w:spacing w:before="20" w:after="20"/>
              <w:jc w:val="both"/>
              <w:rPr>
                <w:sz w:val="20"/>
                <w:szCs w:val="20"/>
                <w:lang w:eastAsia="en-GB"/>
              </w:rPr>
            </w:pPr>
            <w:r w:rsidRPr="00F50349">
              <w:rPr>
                <w:sz w:val="20"/>
                <w:szCs w:val="20"/>
                <w:lang w:eastAsia="en-GB"/>
              </w:rPr>
              <w:t>U - Activities of extraterritorial organisations and bodies</w:t>
            </w:r>
          </w:p>
        </w:tc>
        <w:tc>
          <w:tcPr>
            <w:tcW w:w="1107" w:type="pct"/>
            <w:shd w:val="clear" w:color="auto" w:fill="auto"/>
            <w:noWrap/>
            <w:vAlign w:val="center"/>
            <w:hideMark/>
          </w:tcPr>
          <w:p w14:paraId="770908EF" w14:textId="77777777" w:rsidR="001C0EF6" w:rsidRPr="00F50349" w:rsidRDefault="001C0EF6" w:rsidP="00D772C4">
            <w:pPr>
              <w:spacing w:before="20" w:after="20"/>
              <w:jc w:val="right"/>
              <w:rPr>
                <w:sz w:val="20"/>
                <w:szCs w:val="20"/>
                <w:lang w:eastAsia="en-GB"/>
              </w:rPr>
            </w:pPr>
            <w:r w:rsidRPr="00F50349">
              <w:rPr>
                <w:sz w:val="20"/>
                <w:szCs w:val="20"/>
                <w:lang w:eastAsia="en-GB"/>
              </w:rPr>
              <w:t>79,082.70</w:t>
            </w:r>
          </w:p>
        </w:tc>
      </w:tr>
    </w:tbl>
    <w:p w14:paraId="54CC07E8" w14:textId="77777777" w:rsidR="001C0EF6" w:rsidRDefault="001C0EF6" w:rsidP="002A5A2D">
      <w:pPr>
        <w:pStyle w:val="Zwykytekst"/>
        <w:jc w:val="both"/>
      </w:pPr>
    </w:p>
    <w:p w14:paraId="3258449F" w14:textId="77777777" w:rsidR="001C0EF6" w:rsidRPr="00445937" w:rsidRDefault="001C0EF6" w:rsidP="002A5A2D">
      <w:pPr>
        <w:pStyle w:val="Nagwek4"/>
        <w:jc w:val="both"/>
      </w:pPr>
      <w:r>
        <w:t xml:space="preserve">Mitigation potential </w:t>
      </w:r>
    </w:p>
    <w:p w14:paraId="7F4D4C78" w14:textId="48A5EA72" w:rsidR="001C0EF6" w:rsidRPr="00091D5D" w:rsidRDefault="001C0EF6" w:rsidP="002A5A2D">
      <w:pPr>
        <w:jc w:val="both"/>
      </w:pPr>
      <w:r w:rsidRPr="00DD30BE">
        <w:t xml:space="preserve">The group has </w:t>
      </w:r>
      <w:r>
        <w:t>also made a judgement of activities with high mitigation potential based on experience developed in the HLEG process. Where data is available, this has been considered (s</w:t>
      </w:r>
      <w:r w:rsidR="00233F6B">
        <w:t>ee table 1 below</w:t>
      </w:r>
      <w:r w:rsidRPr="008323B7">
        <w:t>).</w:t>
      </w:r>
      <w:r>
        <w:t xml:space="preserve"> </w:t>
      </w:r>
      <w:r w:rsidR="00777CE9">
        <w:t xml:space="preserve">When updated </w:t>
      </w:r>
      <w:r w:rsidR="003D2716">
        <w:t xml:space="preserve">official </w:t>
      </w:r>
      <w:r w:rsidR="00777CE9">
        <w:t xml:space="preserve">scenarios become available, the group will take these into </w:t>
      </w:r>
      <w:r w:rsidR="00777CE9">
        <w:lastRenderedPageBreak/>
        <w:t>account in further deli</w:t>
      </w:r>
      <w:r w:rsidR="003D2716">
        <w:t>b</w:t>
      </w:r>
      <w:r w:rsidR="00777CE9">
        <w:t>erations</w:t>
      </w:r>
      <w:r w:rsidRPr="008323B7">
        <w:t>.</w:t>
      </w:r>
      <w:r>
        <w:t xml:space="preserve"> Where </w:t>
      </w:r>
      <w:r>
        <w:rPr>
          <w:shd w:val="clear" w:color="auto" w:fill="FFFFFF"/>
        </w:rPr>
        <w:t xml:space="preserve">detailed data is not available (the case for many of the subsectors) a qualitative judgement has also been applied, based on the experiences of the group. This analysis will be reviewed as more data becomes available. </w:t>
      </w:r>
    </w:p>
    <w:p w14:paraId="537B8716" w14:textId="77777777" w:rsidR="001C0EF6" w:rsidRDefault="001C0EF6" w:rsidP="002A5A2D">
      <w:pPr>
        <w:jc w:val="both"/>
      </w:pPr>
      <w:r>
        <w:t>Broadly, this approach has validated the high emitting macro-sectors selected above. However,</w:t>
      </w:r>
      <w:r w:rsidRPr="008323B7">
        <w:t xml:space="preserve"> </w:t>
      </w:r>
      <w:r>
        <w:rPr>
          <w:shd w:val="clear" w:color="auto" w:fill="FFFFFF"/>
        </w:rPr>
        <w:t xml:space="preserve">based on an assessment of mitigation potential, </w:t>
      </w:r>
      <w:r w:rsidRPr="00165DD1">
        <w:rPr>
          <w:b/>
          <w:shd w:val="clear" w:color="auto" w:fill="FFFFFF"/>
        </w:rPr>
        <w:t>built environment</w:t>
      </w:r>
      <w:r>
        <w:rPr>
          <w:shd w:val="clear" w:color="auto" w:fill="FFFFFF"/>
        </w:rPr>
        <w:t xml:space="preserve"> has been identified as an additional focus considering that </w:t>
      </w:r>
      <w:r>
        <w:t>b</w:t>
      </w:r>
      <w:r w:rsidRPr="00165DD1">
        <w:t>uildings are responsible for approximately 40% of energy consumption and 36% of CO2 emissions in the EU</w:t>
      </w:r>
      <w:r w:rsidRPr="00D06EA8">
        <w:rPr>
          <w:rStyle w:val="Odwoanieprzypisudolnego"/>
        </w:rPr>
        <w:t xml:space="preserve"> </w:t>
      </w:r>
      <w:r>
        <w:rPr>
          <w:rStyle w:val="Odwoanieprzypisudolnego"/>
        </w:rPr>
        <w:footnoteReference w:id="13"/>
      </w:r>
      <w:r>
        <w:t xml:space="preserve">.  </w:t>
      </w:r>
    </w:p>
    <w:p w14:paraId="4ECE1A6D" w14:textId="77777777" w:rsidR="009E029F" w:rsidRPr="002A5A2D" w:rsidRDefault="001C0EF6" w:rsidP="002A5A2D">
      <w:pPr>
        <w:jc w:val="both"/>
        <w:rPr>
          <w:i/>
        </w:rPr>
      </w:pPr>
      <w:r w:rsidRPr="00357027">
        <w:rPr>
          <w:rStyle w:val="Uwydatnienie"/>
          <w:i w:val="0"/>
          <w:shd w:val="clear" w:color="auto" w:fill="FFFFFF"/>
        </w:rPr>
        <w:t>The NACE classification does not have a single category</w:t>
      </w:r>
      <w:r w:rsidR="009E029F">
        <w:rPr>
          <w:rStyle w:val="Uwydatnienie"/>
          <w:i w:val="0"/>
          <w:shd w:val="clear" w:color="auto" w:fill="FFFFFF"/>
        </w:rPr>
        <w:t xml:space="preserve"> relating to </w:t>
      </w:r>
      <w:proofErr w:type="spellStart"/>
      <w:r w:rsidR="009E029F">
        <w:rPr>
          <w:rStyle w:val="Uwydatnienie"/>
          <w:i w:val="0"/>
          <w:shd w:val="clear" w:color="auto" w:fill="FFFFFF"/>
        </w:rPr>
        <w:t>built</w:t>
      </w:r>
      <w:proofErr w:type="spellEnd"/>
      <w:r w:rsidR="009E029F">
        <w:rPr>
          <w:rStyle w:val="Uwydatnienie"/>
          <w:i w:val="0"/>
          <w:shd w:val="clear" w:color="auto" w:fill="FFFFFF"/>
        </w:rPr>
        <w:t xml:space="preserve"> environment </w:t>
      </w:r>
      <w:r w:rsidRPr="00357027">
        <w:rPr>
          <w:rStyle w:val="Uwydatnienie"/>
          <w:i w:val="0"/>
          <w:shd w:val="clear" w:color="auto" w:fill="FFFFFF"/>
        </w:rPr>
        <w:t xml:space="preserve">therefore </w:t>
      </w:r>
      <w:r w:rsidR="009E029F">
        <w:rPr>
          <w:rStyle w:val="Uwydatnienie"/>
          <w:i w:val="0"/>
          <w:shd w:val="clear" w:color="auto" w:fill="FFFFFF"/>
        </w:rPr>
        <w:t xml:space="preserve">the group </w:t>
      </w:r>
      <w:r w:rsidRPr="00357027">
        <w:rPr>
          <w:rStyle w:val="Uwydatnienie"/>
          <w:i w:val="0"/>
          <w:shd w:val="clear" w:color="auto" w:fill="FFFFFF"/>
        </w:rPr>
        <w:t xml:space="preserve">identified two relevant macro-sectors - construction and real estate activities. </w:t>
      </w:r>
    </w:p>
    <w:p w14:paraId="53D8B55E" w14:textId="77777777" w:rsidR="00EA7EA0" w:rsidRDefault="009E029F" w:rsidP="002A5A2D">
      <w:pPr>
        <w:pStyle w:val="m5639379716884209249msocaption"/>
        <w:keepNext/>
        <w:spacing w:beforeAutospacing="0" w:after="120" w:afterAutospacing="0"/>
        <w:jc w:val="both"/>
      </w:pPr>
      <w:r>
        <w:t>Table</w:t>
      </w:r>
      <w:r w:rsidR="00233F6B">
        <w:t xml:space="preserve"> 1</w:t>
      </w:r>
      <w:r>
        <w:t xml:space="preserve"> - </w:t>
      </w:r>
      <w:r w:rsidR="00EA7EA0">
        <w:t>EU Greenhouse gas emission reductions overall and in different economic sectors in different decarbonisation scenarios</w:t>
      </w:r>
      <w:r>
        <w:rPr>
          <w:rStyle w:val="Odwoanieprzypisudolnego"/>
        </w:rPr>
        <w:footnoteReference w:id="14"/>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0"/>
        <w:gridCol w:w="992"/>
        <w:gridCol w:w="1589"/>
        <w:gridCol w:w="1701"/>
      </w:tblGrid>
      <w:tr w:rsidR="00EA7EA0" w14:paraId="29171308" w14:textId="77777777" w:rsidTr="002A5A2D">
        <w:tc>
          <w:tcPr>
            <w:tcW w:w="4790" w:type="dxa"/>
            <w:tcMar>
              <w:top w:w="0" w:type="dxa"/>
              <w:left w:w="108" w:type="dxa"/>
              <w:bottom w:w="0" w:type="dxa"/>
              <w:right w:w="108" w:type="dxa"/>
            </w:tcMar>
            <w:hideMark/>
          </w:tcPr>
          <w:p w14:paraId="742338B8" w14:textId="77777777" w:rsidR="00EA7EA0" w:rsidRDefault="00EA7EA0" w:rsidP="002A5A2D">
            <w:pPr>
              <w:pStyle w:val="m5639379716884209249text2"/>
              <w:spacing w:beforeAutospacing="0" w:after="0" w:afterAutospacing="0"/>
              <w:ind w:left="284"/>
              <w:jc w:val="both"/>
            </w:pPr>
            <w:r>
              <w:rPr>
                <w:b/>
                <w:bCs/>
              </w:rPr>
              <w:t>GHG reductions compared to 1990 in %</w:t>
            </w:r>
          </w:p>
        </w:tc>
        <w:tc>
          <w:tcPr>
            <w:tcW w:w="992" w:type="dxa"/>
            <w:tcMar>
              <w:top w:w="0" w:type="dxa"/>
              <w:left w:w="108" w:type="dxa"/>
              <w:bottom w:w="0" w:type="dxa"/>
              <w:right w:w="108" w:type="dxa"/>
            </w:tcMar>
            <w:hideMark/>
          </w:tcPr>
          <w:p w14:paraId="0643F34B" w14:textId="77777777" w:rsidR="00EA7EA0" w:rsidRDefault="00EA7EA0" w:rsidP="002A5A2D">
            <w:pPr>
              <w:pStyle w:val="m5639379716884209249text2"/>
              <w:spacing w:beforeAutospacing="0" w:after="0" w:afterAutospacing="0"/>
              <w:ind w:left="284"/>
              <w:jc w:val="both"/>
            </w:pPr>
            <w:r>
              <w:rPr>
                <w:b/>
                <w:bCs/>
              </w:rPr>
              <w:t>2005</w:t>
            </w:r>
          </w:p>
        </w:tc>
        <w:tc>
          <w:tcPr>
            <w:tcW w:w="1589" w:type="dxa"/>
            <w:tcMar>
              <w:top w:w="0" w:type="dxa"/>
              <w:left w:w="108" w:type="dxa"/>
              <w:bottom w:w="0" w:type="dxa"/>
              <w:right w:w="108" w:type="dxa"/>
            </w:tcMar>
            <w:hideMark/>
          </w:tcPr>
          <w:p w14:paraId="77D92EE1" w14:textId="77777777" w:rsidR="00EA7EA0" w:rsidRDefault="00EA7EA0" w:rsidP="002A5A2D">
            <w:pPr>
              <w:pStyle w:val="m5639379716884209249text2"/>
              <w:spacing w:beforeAutospacing="0" w:after="0" w:afterAutospacing="0"/>
              <w:ind w:left="284"/>
              <w:jc w:val="both"/>
            </w:pPr>
            <w:r>
              <w:rPr>
                <w:b/>
                <w:bCs/>
              </w:rPr>
              <w:t>2030</w:t>
            </w:r>
          </w:p>
        </w:tc>
        <w:tc>
          <w:tcPr>
            <w:tcW w:w="1701" w:type="dxa"/>
            <w:tcMar>
              <w:top w:w="0" w:type="dxa"/>
              <w:left w:w="108" w:type="dxa"/>
              <w:bottom w:w="0" w:type="dxa"/>
              <w:right w:w="108" w:type="dxa"/>
            </w:tcMar>
            <w:hideMark/>
          </w:tcPr>
          <w:p w14:paraId="61E85523" w14:textId="77777777" w:rsidR="00EA7EA0" w:rsidRDefault="00EA7EA0" w:rsidP="002A5A2D">
            <w:pPr>
              <w:pStyle w:val="m5639379716884209249text2"/>
              <w:spacing w:beforeAutospacing="0" w:after="0" w:afterAutospacing="0"/>
              <w:ind w:left="284"/>
              <w:jc w:val="both"/>
            </w:pPr>
            <w:r>
              <w:rPr>
                <w:b/>
                <w:bCs/>
              </w:rPr>
              <w:t>2050</w:t>
            </w:r>
          </w:p>
        </w:tc>
      </w:tr>
      <w:tr w:rsidR="00EA7EA0" w14:paraId="09836B6C" w14:textId="77777777" w:rsidTr="002A5A2D">
        <w:tc>
          <w:tcPr>
            <w:tcW w:w="4790" w:type="dxa"/>
            <w:tcMar>
              <w:top w:w="0" w:type="dxa"/>
              <w:left w:w="108" w:type="dxa"/>
              <w:bottom w:w="0" w:type="dxa"/>
              <w:right w:w="108" w:type="dxa"/>
            </w:tcMar>
            <w:hideMark/>
          </w:tcPr>
          <w:p w14:paraId="7541E249" w14:textId="77777777" w:rsidR="00EA7EA0" w:rsidRDefault="00EA7EA0" w:rsidP="002A5A2D">
            <w:pPr>
              <w:pStyle w:val="m5639379716884209249text2"/>
              <w:spacing w:beforeAutospacing="0" w:after="0" w:afterAutospacing="0"/>
              <w:ind w:left="284"/>
              <w:jc w:val="both"/>
            </w:pPr>
            <w:r>
              <w:rPr>
                <w:b/>
                <w:bCs/>
              </w:rPr>
              <w:t>Total</w:t>
            </w:r>
            <w:r w:rsidR="00233F6B">
              <w:rPr>
                <w:b/>
                <w:bCs/>
              </w:rPr>
              <w:t xml:space="preserve"> sectors</w:t>
            </w:r>
          </w:p>
        </w:tc>
        <w:tc>
          <w:tcPr>
            <w:tcW w:w="992" w:type="dxa"/>
            <w:tcMar>
              <w:top w:w="0" w:type="dxa"/>
              <w:left w:w="108" w:type="dxa"/>
              <w:bottom w:w="0" w:type="dxa"/>
              <w:right w:w="108" w:type="dxa"/>
            </w:tcMar>
            <w:vAlign w:val="center"/>
            <w:hideMark/>
          </w:tcPr>
          <w:p w14:paraId="7B92F630" w14:textId="77777777" w:rsidR="00EA7EA0" w:rsidRDefault="00EA7EA0" w:rsidP="002A5A2D">
            <w:pPr>
              <w:pStyle w:val="m5639379716884209249text2"/>
              <w:spacing w:beforeAutospacing="0" w:after="0" w:afterAutospacing="0"/>
              <w:ind w:left="284"/>
              <w:jc w:val="both"/>
            </w:pPr>
            <w:r>
              <w:t>-7%</w:t>
            </w:r>
          </w:p>
        </w:tc>
        <w:tc>
          <w:tcPr>
            <w:tcW w:w="1589" w:type="dxa"/>
            <w:tcMar>
              <w:top w:w="0" w:type="dxa"/>
              <w:left w:w="108" w:type="dxa"/>
              <w:bottom w:w="0" w:type="dxa"/>
              <w:right w:w="108" w:type="dxa"/>
            </w:tcMar>
            <w:vAlign w:val="center"/>
            <w:hideMark/>
          </w:tcPr>
          <w:p w14:paraId="4FFB9063" w14:textId="77777777" w:rsidR="00EA7EA0" w:rsidRDefault="00EA7EA0" w:rsidP="002A5A2D">
            <w:pPr>
              <w:pStyle w:val="m5639379716884209249text2"/>
              <w:spacing w:beforeAutospacing="0" w:after="0" w:afterAutospacing="0"/>
              <w:ind w:left="284"/>
              <w:jc w:val="both"/>
            </w:pPr>
            <w:r>
              <w:t>-40 to -44%</w:t>
            </w:r>
          </w:p>
        </w:tc>
        <w:tc>
          <w:tcPr>
            <w:tcW w:w="1701" w:type="dxa"/>
            <w:tcMar>
              <w:top w:w="0" w:type="dxa"/>
              <w:left w:w="108" w:type="dxa"/>
              <w:bottom w:w="0" w:type="dxa"/>
              <w:right w:w="108" w:type="dxa"/>
            </w:tcMar>
            <w:vAlign w:val="center"/>
            <w:hideMark/>
          </w:tcPr>
          <w:p w14:paraId="00DF1709" w14:textId="77777777" w:rsidR="00EA7EA0" w:rsidRDefault="00EA7EA0" w:rsidP="002A5A2D">
            <w:pPr>
              <w:pStyle w:val="m5639379716884209249text2"/>
              <w:spacing w:beforeAutospacing="0" w:after="0" w:afterAutospacing="0"/>
              <w:ind w:left="284"/>
              <w:jc w:val="both"/>
            </w:pPr>
            <w:r>
              <w:t>-79 to -82%</w:t>
            </w:r>
          </w:p>
        </w:tc>
      </w:tr>
      <w:tr w:rsidR="00EA7EA0" w14:paraId="44DA2A55" w14:textId="77777777" w:rsidTr="002A5A2D">
        <w:tc>
          <w:tcPr>
            <w:tcW w:w="4790" w:type="dxa"/>
            <w:tcMar>
              <w:top w:w="0" w:type="dxa"/>
              <w:left w:w="108" w:type="dxa"/>
              <w:bottom w:w="0" w:type="dxa"/>
              <w:right w:w="108" w:type="dxa"/>
            </w:tcMar>
            <w:hideMark/>
          </w:tcPr>
          <w:p w14:paraId="11BCB5BA" w14:textId="77777777" w:rsidR="00EA7EA0" w:rsidRDefault="00EA7EA0" w:rsidP="002A5A2D">
            <w:pPr>
              <w:pStyle w:val="m5639379716884209249text2"/>
              <w:spacing w:beforeAutospacing="0" w:after="0" w:afterAutospacing="0"/>
              <w:ind w:left="284"/>
              <w:jc w:val="both"/>
            </w:pPr>
            <w:r>
              <w:t>Power (CO2)</w:t>
            </w:r>
          </w:p>
        </w:tc>
        <w:tc>
          <w:tcPr>
            <w:tcW w:w="992" w:type="dxa"/>
            <w:tcMar>
              <w:top w:w="0" w:type="dxa"/>
              <w:left w:w="108" w:type="dxa"/>
              <w:bottom w:w="0" w:type="dxa"/>
              <w:right w:w="108" w:type="dxa"/>
            </w:tcMar>
            <w:vAlign w:val="center"/>
            <w:hideMark/>
          </w:tcPr>
          <w:p w14:paraId="0F9454FC" w14:textId="77777777" w:rsidR="00EA7EA0" w:rsidRDefault="00EA7EA0" w:rsidP="002A5A2D">
            <w:pPr>
              <w:pStyle w:val="m5639379716884209249text2"/>
              <w:spacing w:beforeAutospacing="0" w:after="0" w:afterAutospacing="0"/>
              <w:ind w:left="284"/>
              <w:jc w:val="both"/>
            </w:pPr>
            <w:r>
              <w:t>-7%</w:t>
            </w:r>
          </w:p>
        </w:tc>
        <w:tc>
          <w:tcPr>
            <w:tcW w:w="1589" w:type="dxa"/>
            <w:tcMar>
              <w:top w:w="0" w:type="dxa"/>
              <w:left w:w="108" w:type="dxa"/>
              <w:bottom w:w="0" w:type="dxa"/>
              <w:right w:w="108" w:type="dxa"/>
            </w:tcMar>
            <w:vAlign w:val="center"/>
            <w:hideMark/>
          </w:tcPr>
          <w:p w14:paraId="488D106A" w14:textId="77777777" w:rsidR="00EA7EA0" w:rsidRDefault="00EA7EA0" w:rsidP="002A5A2D">
            <w:pPr>
              <w:pStyle w:val="m5639379716884209249text2"/>
              <w:spacing w:beforeAutospacing="0" w:after="0" w:afterAutospacing="0"/>
              <w:ind w:left="284"/>
              <w:jc w:val="both"/>
            </w:pPr>
            <w:r>
              <w:t>-54 to -68%</w:t>
            </w:r>
          </w:p>
        </w:tc>
        <w:tc>
          <w:tcPr>
            <w:tcW w:w="1701" w:type="dxa"/>
            <w:tcMar>
              <w:top w:w="0" w:type="dxa"/>
              <w:left w:w="108" w:type="dxa"/>
              <w:bottom w:w="0" w:type="dxa"/>
              <w:right w:w="108" w:type="dxa"/>
            </w:tcMar>
            <w:vAlign w:val="center"/>
            <w:hideMark/>
          </w:tcPr>
          <w:p w14:paraId="66BB91ED" w14:textId="77777777" w:rsidR="00EA7EA0" w:rsidRDefault="00EA7EA0" w:rsidP="002A5A2D">
            <w:pPr>
              <w:pStyle w:val="m5639379716884209249text2"/>
              <w:spacing w:beforeAutospacing="0" w:after="0" w:afterAutospacing="0"/>
              <w:ind w:left="284"/>
              <w:jc w:val="both"/>
            </w:pPr>
            <w:r>
              <w:t>-93 to -99%</w:t>
            </w:r>
          </w:p>
        </w:tc>
      </w:tr>
      <w:tr w:rsidR="00EA7EA0" w14:paraId="1B77A335" w14:textId="77777777" w:rsidTr="002A5A2D">
        <w:tc>
          <w:tcPr>
            <w:tcW w:w="4790" w:type="dxa"/>
            <w:tcMar>
              <w:top w:w="0" w:type="dxa"/>
              <w:left w:w="108" w:type="dxa"/>
              <w:bottom w:w="0" w:type="dxa"/>
              <w:right w:w="108" w:type="dxa"/>
            </w:tcMar>
            <w:hideMark/>
          </w:tcPr>
          <w:p w14:paraId="0096D4AD" w14:textId="77777777" w:rsidR="00EA7EA0" w:rsidRDefault="00EA7EA0" w:rsidP="002A5A2D">
            <w:pPr>
              <w:pStyle w:val="m5639379716884209249text2"/>
              <w:spacing w:beforeAutospacing="0" w:after="0" w:afterAutospacing="0"/>
              <w:ind w:left="284"/>
              <w:jc w:val="both"/>
            </w:pPr>
            <w:r>
              <w:t>Industry (CO2)</w:t>
            </w:r>
          </w:p>
        </w:tc>
        <w:tc>
          <w:tcPr>
            <w:tcW w:w="992" w:type="dxa"/>
            <w:tcMar>
              <w:top w:w="0" w:type="dxa"/>
              <w:left w:w="108" w:type="dxa"/>
              <w:bottom w:w="0" w:type="dxa"/>
              <w:right w:w="108" w:type="dxa"/>
            </w:tcMar>
            <w:vAlign w:val="center"/>
            <w:hideMark/>
          </w:tcPr>
          <w:p w14:paraId="3569A380" w14:textId="77777777" w:rsidR="00EA7EA0" w:rsidRDefault="00EA7EA0" w:rsidP="002A5A2D">
            <w:pPr>
              <w:pStyle w:val="m5639379716884209249text2"/>
              <w:spacing w:beforeAutospacing="0" w:after="0" w:afterAutospacing="0"/>
              <w:ind w:left="284"/>
              <w:jc w:val="both"/>
            </w:pPr>
            <w:r>
              <w:t>-20%</w:t>
            </w:r>
          </w:p>
        </w:tc>
        <w:tc>
          <w:tcPr>
            <w:tcW w:w="1589" w:type="dxa"/>
            <w:tcMar>
              <w:top w:w="0" w:type="dxa"/>
              <w:left w:w="108" w:type="dxa"/>
              <w:bottom w:w="0" w:type="dxa"/>
              <w:right w:w="108" w:type="dxa"/>
            </w:tcMar>
            <w:vAlign w:val="center"/>
            <w:hideMark/>
          </w:tcPr>
          <w:p w14:paraId="30B23740" w14:textId="77777777" w:rsidR="00EA7EA0" w:rsidRDefault="00EA7EA0" w:rsidP="002A5A2D">
            <w:pPr>
              <w:pStyle w:val="m5639379716884209249text2"/>
              <w:spacing w:beforeAutospacing="0" w:after="0" w:afterAutospacing="0"/>
              <w:ind w:left="284"/>
              <w:jc w:val="both"/>
            </w:pPr>
            <w:r>
              <w:t>-34 to -40%</w:t>
            </w:r>
          </w:p>
        </w:tc>
        <w:tc>
          <w:tcPr>
            <w:tcW w:w="1701" w:type="dxa"/>
            <w:tcMar>
              <w:top w:w="0" w:type="dxa"/>
              <w:left w:w="108" w:type="dxa"/>
              <w:bottom w:w="0" w:type="dxa"/>
              <w:right w:w="108" w:type="dxa"/>
            </w:tcMar>
            <w:vAlign w:val="center"/>
            <w:hideMark/>
          </w:tcPr>
          <w:p w14:paraId="3FFE57B5" w14:textId="77777777" w:rsidR="00EA7EA0" w:rsidRDefault="00EA7EA0" w:rsidP="002A5A2D">
            <w:pPr>
              <w:pStyle w:val="m5639379716884209249text2"/>
              <w:spacing w:beforeAutospacing="0" w:after="0" w:afterAutospacing="0"/>
              <w:ind w:left="284"/>
              <w:jc w:val="both"/>
            </w:pPr>
            <w:r>
              <w:t>-83 to -87%</w:t>
            </w:r>
          </w:p>
        </w:tc>
      </w:tr>
      <w:tr w:rsidR="00EA7EA0" w14:paraId="59651C7A" w14:textId="77777777" w:rsidTr="002A5A2D">
        <w:tc>
          <w:tcPr>
            <w:tcW w:w="4790" w:type="dxa"/>
            <w:tcMar>
              <w:top w:w="0" w:type="dxa"/>
              <w:left w:w="108" w:type="dxa"/>
              <w:bottom w:w="0" w:type="dxa"/>
              <w:right w:w="108" w:type="dxa"/>
            </w:tcMar>
            <w:hideMark/>
          </w:tcPr>
          <w:p w14:paraId="57BCE3AC" w14:textId="77777777" w:rsidR="00EA7EA0" w:rsidRPr="00AF2503" w:rsidRDefault="00EA7EA0" w:rsidP="002A5A2D">
            <w:pPr>
              <w:pStyle w:val="m5639379716884209249text2"/>
              <w:spacing w:beforeAutospacing="0" w:after="0" w:afterAutospacing="0"/>
              <w:ind w:left="284"/>
              <w:jc w:val="both"/>
              <w:rPr>
                <w:lang w:val="fr-BE"/>
              </w:rPr>
            </w:pPr>
            <w:r>
              <w:rPr>
                <w:lang w:val="fr-BE"/>
              </w:rPr>
              <w:t>Transport (incl. aviation, excl. maritime)</w:t>
            </w:r>
            <w:bookmarkStart w:id="16" w:name="m_5639379716884209249__ftnref1"/>
            <w:r>
              <w:rPr>
                <w:lang w:val="fr-BE"/>
              </w:rPr>
              <w:fldChar w:fldCharType="begin"/>
            </w:r>
            <w:r>
              <w:rPr>
                <w:lang w:val="fr-BE"/>
              </w:rPr>
              <w:instrText xml:space="preserve"> HYPERLINK "" \l "m_5639379716884209249__ftn1" </w:instrText>
            </w:r>
            <w:r>
              <w:rPr>
                <w:lang w:val="fr-BE"/>
              </w:rPr>
              <w:fldChar w:fldCharType="separate"/>
            </w:r>
            <w:r>
              <w:rPr>
                <w:rStyle w:val="m5639379716884209249msofootnotereference"/>
                <w:color w:val="0000FF"/>
                <w:u w:val="single"/>
                <w:lang w:val="fr-BE"/>
              </w:rPr>
              <w:t>[1]</w:t>
            </w:r>
            <w:bookmarkEnd w:id="16"/>
            <w:r>
              <w:rPr>
                <w:lang w:val="fr-BE"/>
              </w:rPr>
              <w:fldChar w:fldCharType="end"/>
            </w:r>
            <w:r>
              <w:rPr>
                <w:lang w:val="fr-BE"/>
              </w:rPr>
              <w:t xml:space="preserve"> (CO2)</w:t>
            </w:r>
          </w:p>
        </w:tc>
        <w:tc>
          <w:tcPr>
            <w:tcW w:w="992" w:type="dxa"/>
            <w:tcMar>
              <w:top w:w="0" w:type="dxa"/>
              <w:left w:w="108" w:type="dxa"/>
              <w:bottom w:w="0" w:type="dxa"/>
              <w:right w:w="108" w:type="dxa"/>
            </w:tcMar>
            <w:vAlign w:val="center"/>
            <w:hideMark/>
          </w:tcPr>
          <w:p w14:paraId="047718E7" w14:textId="77777777" w:rsidR="00EA7EA0" w:rsidRDefault="00EA7EA0" w:rsidP="002A5A2D">
            <w:pPr>
              <w:pStyle w:val="m5639379716884209249text2"/>
              <w:spacing w:beforeAutospacing="0" w:after="0" w:afterAutospacing="0"/>
              <w:ind w:left="284"/>
              <w:jc w:val="both"/>
            </w:pPr>
            <w:r>
              <w:t>+30%</w:t>
            </w:r>
          </w:p>
        </w:tc>
        <w:tc>
          <w:tcPr>
            <w:tcW w:w="1589" w:type="dxa"/>
            <w:tcMar>
              <w:top w:w="0" w:type="dxa"/>
              <w:left w:w="108" w:type="dxa"/>
              <w:bottom w:w="0" w:type="dxa"/>
              <w:right w:w="108" w:type="dxa"/>
            </w:tcMar>
            <w:vAlign w:val="center"/>
            <w:hideMark/>
          </w:tcPr>
          <w:p w14:paraId="6802FA1B" w14:textId="77777777" w:rsidR="00EA7EA0" w:rsidRDefault="00EA7EA0" w:rsidP="002A5A2D">
            <w:pPr>
              <w:pStyle w:val="m5639379716884209249text2"/>
              <w:spacing w:beforeAutospacing="0" w:after="0" w:afterAutospacing="0"/>
              <w:ind w:left="284"/>
              <w:jc w:val="both"/>
            </w:pPr>
            <w:r>
              <w:t>+20 to -9%</w:t>
            </w:r>
          </w:p>
        </w:tc>
        <w:tc>
          <w:tcPr>
            <w:tcW w:w="1701" w:type="dxa"/>
            <w:tcMar>
              <w:top w:w="0" w:type="dxa"/>
              <w:left w:w="108" w:type="dxa"/>
              <w:bottom w:w="0" w:type="dxa"/>
              <w:right w:w="108" w:type="dxa"/>
            </w:tcMar>
            <w:vAlign w:val="center"/>
            <w:hideMark/>
          </w:tcPr>
          <w:p w14:paraId="5541D3BF" w14:textId="77777777" w:rsidR="00EA7EA0" w:rsidRDefault="00EA7EA0" w:rsidP="002A5A2D">
            <w:pPr>
              <w:pStyle w:val="m5639379716884209249text2"/>
              <w:spacing w:beforeAutospacing="0" w:after="0" w:afterAutospacing="0"/>
              <w:ind w:left="284"/>
              <w:jc w:val="both"/>
            </w:pPr>
            <w:r>
              <w:t>-54 to -67%</w:t>
            </w:r>
          </w:p>
        </w:tc>
      </w:tr>
      <w:tr w:rsidR="00EA7EA0" w14:paraId="61185160" w14:textId="77777777" w:rsidTr="002A5A2D">
        <w:tc>
          <w:tcPr>
            <w:tcW w:w="4790" w:type="dxa"/>
            <w:tcMar>
              <w:top w:w="0" w:type="dxa"/>
              <w:left w:w="108" w:type="dxa"/>
              <w:bottom w:w="0" w:type="dxa"/>
              <w:right w:w="108" w:type="dxa"/>
            </w:tcMar>
            <w:hideMark/>
          </w:tcPr>
          <w:p w14:paraId="17026936" w14:textId="77777777" w:rsidR="00EA7EA0" w:rsidRPr="00AF2503" w:rsidRDefault="00EA7EA0" w:rsidP="002A5A2D">
            <w:pPr>
              <w:pStyle w:val="m5639379716884209249text2"/>
              <w:spacing w:beforeAutospacing="0" w:after="0" w:afterAutospacing="0"/>
              <w:ind w:left="284"/>
              <w:jc w:val="both"/>
              <w:rPr>
                <w:lang w:val="fr-BE"/>
              </w:rPr>
            </w:pPr>
            <w:r>
              <w:rPr>
                <w:i/>
                <w:iCs/>
                <w:lang w:val="fr-FR"/>
              </w:rPr>
              <w:t xml:space="preserve">Transport (excl. aviation, excl. maritime) </w:t>
            </w:r>
          </w:p>
        </w:tc>
        <w:tc>
          <w:tcPr>
            <w:tcW w:w="992" w:type="dxa"/>
            <w:tcMar>
              <w:top w:w="0" w:type="dxa"/>
              <w:left w:w="108" w:type="dxa"/>
              <w:bottom w:w="0" w:type="dxa"/>
              <w:right w:w="108" w:type="dxa"/>
            </w:tcMar>
            <w:vAlign w:val="center"/>
            <w:hideMark/>
          </w:tcPr>
          <w:p w14:paraId="528AFDE1" w14:textId="77777777" w:rsidR="00EA7EA0" w:rsidRDefault="00EA7EA0" w:rsidP="002A5A2D">
            <w:pPr>
              <w:pStyle w:val="m5639379716884209249text2"/>
              <w:spacing w:beforeAutospacing="0" w:after="0" w:afterAutospacing="0"/>
              <w:ind w:left="284"/>
              <w:jc w:val="both"/>
            </w:pPr>
            <w:r>
              <w:rPr>
                <w:i/>
                <w:iCs/>
              </w:rPr>
              <w:t>+25%</w:t>
            </w:r>
          </w:p>
        </w:tc>
        <w:tc>
          <w:tcPr>
            <w:tcW w:w="1589" w:type="dxa"/>
            <w:tcMar>
              <w:top w:w="0" w:type="dxa"/>
              <w:left w:w="108" w:type="dxa"/>
              <w:bottom w:w="0" w:type="dxa"/>
              <w:right w:w="108" w:type="dxa"/>
            </w:tcMar>
            <w:vAlign w:val="center"/>
            <w:hideMark/>
          </w:tcPr>
          <w:p w14:paraId="393A8298" w14:textId="77777777" w:rsidR="00EA7EA0" w:rsidRDefault="00EA7EA0" w:rsidP="002A5A2D">
            <w:pPr>
              <w:pStyle w:val="m5639379716884209249text2"/>
              <w:spacing w:beforeAutospacing="0" w:after="0" w:afterAutospacing="0"/>
              <w:ind w:left="284"/>
              <w:jc w:val="both"/>
            </w:pPr>
            <w:r>
              <w:rPr>
                <w:i/>
                <w:iCs/>
              </w:rPr>
              <w:t>+8 to -17%</w:t>
            </w:r>
          </w:p>
        </w:tc>
        <w:tc>
          <w:tcPr>
            <w:tcW w:w="1701" w:type="dxa"/>
            <w:tcMar>
              <w:top w:w="0" w:type="dxa"/>
              <w:left w:w="108" w:type="dxa"/>
              <w:bottom w:w="0" w:type="dxa"/>
              <w:right w:w="108" w:type="dxa"/>
            </w:tcMar>
            <w:vAlign w:val="center"/>
            <w:hideMark/>
          </w:tcPr>
          <w:p w14:paraId="14B0E39A" w14:textId="77777777" w:rsidR="00EA7EA0" w:rsidRDefault="00EA7EA0" w:rsidP="002A5A2D">
            <w:pPr>
              <w:pStyle w:val="m5639379716884209249text2"/>
              <w:spacing w:beforeAutospacing="0" w:after="0" w:afterAutospacing="0"/>
              <w:ind w:left="284"/>
              <w:jc w:val="both"/>
            </w:pPr>
            <w:r>
              <w:rPr>
                <w:i/>
                <w:iCs/>
              </w:rPr>
              <w:t>-61 to -74%</w:t>
            </w:r>
          </w:p>
        </w:tc>
      </w:tr>
      <w:tr w:rsidR="00EA7EA0" w14:paraId="51AA0240" w14:textId="77777777" w:rsidTr="002A5A2D">
        <w:tc>
          <w:tcPr>
            <w:tcW w:w="4790" w:type="dxa"/>
            <w:tcMar>
              <w:top w:w="0" w:type="dxa"/>
              <w:left w:w="108" w:type="dxa"/>
              <w:bottom w:w="0" w:type="dxa"/>
              <w:right w:w="108" w:type="dxa"/>
            </w:tcMar>
            <w:hideMark/>
          </w:tcPr>
          <w:p w14:paraId="7CF6C62F" w14:textId="77777777" w:rsidR="00EA7EA0" w:rsidRDefault="00EA7EA0" w:rsidP="002A5A2D">
            <w:pPr>
              <w:pStyle w:val="m5639379716884209249text2"/>
              <w:spacing w:beforeAutospacing="0" w:after="0" w:afterAutospacing="0"/>
              <w:ind w:left="284"/>
              <w:jc w:val="both"/>
            </w:pPr>
            <w:r>
              <w:t>Residential and services (CO2)</w:t>
            </w:r>
          </w:p>
        </w:tc>
        <w:tc>
          <w:tcPr>
            <w:tcW w:w="992" w:type="dxa"/>
            <w:tcMar>
              <w:top w:w="0" w:type="dxa"/>
              <w:left w:w="108" w:type="dxa"/>
              <w:bottom w:w="0" w:type="dxa"/>
              <w:right w:w="108" w:type="dxa"/>
            </w:tcMar>
            <w:vAlign w:val="center"/>
            <w:hideMark/>
          </w:tcPr>
          <w:p w14:paraId="221DF203" w14:textId="77777777" w:rsidR="00EA7EA0" w:rsidRDefault="00EA7EA0" w:rsidP="002A5A2D">
            <w:pPr>
              <w:pStyle w:val="m5639379716884209249text2"/>
              <w:spacing w:beforeAutospacing="0" w:after="0" w:afterAutospacing="0"/>
              <w:ind w:left="284"/>
              <w:jc w:val="both"/>
            </w:pPr>
            <w:r>
              <w:t>-12%</w:t>
            </w:r>
          </w:p>
        </w:tc>
        <w:tc>
          <w:tcPr>
            <w:tcW w:w="1589" w:type="dxa"/>
            <w:tcMar>
              <w:top w:w="0" w:type="dxa"/>
              <w:left w:w="108" w:type="dxa"/>
              <w:bottom w:w="0" w:type="dxa"/>
              <w:right w:w="108" w:type="dxa"/>
            </w:tcMar>
            <w:vAlign w:val="center"/>
            <w:hideMark/>
          </w:tcPr>
          <w:p w14:paraId="71DA1728" w14:textId="77777777" w:rsidR="00EA7EA0" w:rsidRDefault="00EA7EA0" w:rsidP="002A5A2D">
            <w:pPr>
              <w:pStyle w:val="m5639379716884209249text2"/>
              <w:spacing w:beforeAutospacing="0" w:after="0" w:afterAutospacing="0"/>
              <w:ind w:left="284"/>
              <w:jc w:val="both"/>
            </w:pPr>
            <w:r>
              <w:t>-37 to -53%</w:t>
            </w:r>
          </w:p>
        </w:tc>
        <w:tc>
          <w:tcPr>
            <w:tcW w:w="1701" w:type="dxa"/>
            <w:tcMar>
              <w:top w:w="0" w:type="dxa"/>
              <w:left w:w="108" w:type="dxa"/>
              <w:bottom w:w="0" w:type="dxa"/>
              <w:right w:w="108" w:type="dxa"/>
            </w:tcMar>
            <w:vAlign w:val="center"/>
            <w:hideMark/>
          </w:tcPr>
          <w:p w14:paraId="56B750F7" w14:textId="77777777" w:rsidR="00EA7EA0" w:rsidRDefault="00EA7EA0" w:rsidP="002A5A2D">
            <w:pPr>
              <w:pStyle w:val="m5639379716884209249text2"/>
              <w:spacing w:beforeAutospacing="0" w:after="0" w:afterAutospacing="0"/>
              <w:ind w:left="284"/>
              <w:jc w:val="both"/>
            </w:pPr>
            <w:r>
              <w:t>-88 to-91%</w:t>
            </w:r>
          </w:p>
        </w:tc>
      </w:tr>
      <w:tr w:rsidR="00EA7EA0" w14:paraId="5F12B7A4" w14:textId="77777777" w:rsidTr="002A5A2D">
        <w:tc>
          <w:tcPr>
            <w:tcW w:w="4790" w:type="dxa"/>
            <w:tcMar>
              <w:top w:w="0" w:type="dxa"/>
              <w:left w:w="108" w:type="dxa"/>
              <w:bottom w:w="0" w:type="dxa"/>
              <w:right w:w="108" w:type="dxa"/>
            </w:tcMar>
            <w:hideMark/>
          </w:tcPr>
          <w:p w14:paraId="02252805" w14:textId="77777777" w:rsidR="00EA7EA0" w:rsidRDefault="00EA7EA0" w:rsidP="002A5A2D">
            <w:pPr>
              <w:pStyle w:val="m5639379716884209249text2"/>
              <w:spacing w:beforeAutospacing="0" w:after="0" w:afterAutospacing="0"/>
              <w:ind w:left="284"/>
              <w:jc w:val="both"/>
            </w:pPr>
            <w:r>
              <w:t>Agriculture (Non CO2)</w:t>
            </w:r>
          </w:p>
        </w:tc>
        <w:tc>
          <w:tcPr>
            <w:tcW w:w="992" w:type="dxa"/>
            <w:tcMar>
              <w:top w:w="0" w:type="dxa"/>
              <w:left w:w="108" w:type="dxa"/>
              <w:bottom w:w="0" w:type="dxa"/>
              <w:right w:w="108" w:type="dxa"/>
            </w:tcMar>
            <w:vAlign w:val="center"/>
            <w:hideMark/>
          </w:tcPr>
          <w:p w14:paraId="667D0854" w14:textId="77777777" w:rsidR="00EA7EA0" w:rsidRDefault="00EA7EA0" w:rsidP="002A5A2D">
            <w:pPr>
              <w:pStyle w:val="m5639379716884209249text2"/>
              <w:spacing w:beforeAutospacing="0" w:after="0" w:afterAutospacing="0"/>
              <w:ind w:left="284"/>
              <w:jc w:val="both"/>
            </w:pPr>
            <w:r>
              <w:t>-20%</w:t>
            </w:r>
          </w:p>
        </w:tc>
        <w:tc>
          <w:tcPr>
            <w:tcW w:w="1589" w:type="dxa"/>
            <w:tcMar>
              <w:top w:w="0" w:type="dxa"/>
              <w:left w:w="108" w:type="dxa"/>
              <w:bottom w:w="0" w:type="dxa"/>
              <w:right w:w="108" w:type="dxa"/>
            </w:tcMar>
            <w:vAlign w:val="center"/>
            <w:hideMark/>
          </w:tcPr>
          <w:p w14:paraId="65B5676A" w14:textId="77777777" w:rsidR="00EA7EA0" w:rsidRDefault="00EA7EA0" w:rsidP="002A5A2D">
            <w:pPr>
              <w:pStyle w:val="m5639379716884209249text2"/>
              <w:spacing w:beforeAutospacing="0" w:after="0" w:afterAutospacing="0"/>
              <w:ind w:left="284"/>
              <w:jc w:val="both"/>
            </w:pPr>
            <w:r>
              <w:t>-36 to -37%</w:t>
            </w:r>
          </w:p>
        </w:tc>
        <w:tc>
          <w:tcPr>
            <w:tcW w:w="1701" w:type="dxa"/>
            <w:tcMar>
              <w:top w:w="0" w:type="dxa"/>
              <w:left w:w="108" w:type="dxa"/>
              <w:bottom w:w="0" w:type="dxa"/>
              <w:right w:w="108" w:type="dxa"/>
            </w:tcMar>
            <w:vAlign w:val="center"/>
            <w:hideMark/>
          </w:tcPr>
          <w:p w14:paraId="7B4D49BC" w14:textId="77777777" w:rsidR="00EA7EA0" w:rsidRDefault="00EA7EA0" w:rsidP="002A5A2D">
            <w:pPr>
              <w:pStyle w:val="m5639379716884209249text2"/>
              <w:spacing w:beforeAutospacing="0" w:after="0" w:afterAutospacing="0"/>
              <w:ind w:left="284"/>
              <w:jc w:val="both"/>
            </w:pPr>
            <w:r>
              <w:t>-42 to -49%</w:t>
            </w:r>
          </w:p>
        </w:tc>
      </w:tr>
      <w:tr w:rsidR="00EA7EA0" w14:paraId="78668E33" w14:textId="77777777" w:rsidTr="002A5A2D">
        <w:tc>
          <w:tcPr>
            <w:tcW w:w="4790" w:type="dxa"/>
            <w:tcMar>
              <w:top w:w="0" w:type="dxa"/>
              <w:left w:w="108" w:type="dxa"/>
              <w:bottom w:w="0" w:type="dxa"/>
              <w:right w:w="108" w:type="dxa"/>
            </w:tcMar>
            <w:hideMark/>
          </w:tcPr>
          <w:p w14:paraId="6C1C02A4" w14:textId="77777777" w:rsidR="00EA7EA0" w:rsidRDefault="00EA7EA0" w:rsidP="002A5A2D">
            <w:pPr>
              <w:pStyle w:val="m5639379716884209249text2"/>
              <w:spacing w:beforeAutospacing="0" w:after="0" w:afterAutospacing="0"/>
              <w:ind w:left="284"/>
              <w:jc w:val="both"/>
            </w:pPr>
            <w:r>
              <w:t xml:space="preserve">Other Non CO2 emissions </w:t>
            </w:r>
          </w:p>
        </w:tc>
        <w:tc>
          <w:tcPr>
            <w:tcW w:w="992" w:type="dxa"/>
            <w:tcMar>
              <w:top w:w="0" w:type="dxa"/>
              <w:left w:w="108" w:type="dxa"/>
              <w:bottom w:w="0" w:type="dxa"/>
              <w:right w:w="108" w:type="dxa"/>
            </w:tcMar>
            <w:vAlign w:val="center"/>
            <w:hideMark/>
          </w:tcPr>
          <w:p w14:paraId="099E3548" w14:textId="77777777" w:rsidR="00EA7EA0" w:rsidRDefault="00EA7EA0" w:rsidP="002A5A2D">
            <w:pPr>
              <w:pStyle w:val="m5639379716884209249text2"/>
              <w:spacing w:beforeAutospacing="0" w:after="0" w:afterAutospacing="0"/>
              <w:ind w:left="284"/>
              <w:jc w:val="both"/>
            </w:pPr>
            <w:r>
              <w:t>-30%</w:t>
            </w:r>
          </w:p>
        </w:tc>
        <w:tc>
          <w:tcPr>
            <w:tcW w:w="1589" w:type="dxa"/>
            <w:tcMar>
              <w:top w:w="0" w:type="dxa"/>
              <w:left w:w="108" w:type="dxa"/>
              <w:bottom w:w="0" w:type="dxa"/>
              <w:right w:w="108" w:type="dxa"/>
            </w:tcMar>
            <w:vAlign w:val="center"/>
            <w:hideMark/>
          </w:tcPr>
          <w:p w14:paraId="156ECD9F" w14:textId="77777777" w:rsidR="00EA7EA0" w:rsidRDefault="00EA7EA0" w:rsidP="002A5A2D">
            <w:pPr>
              <w:pStyle w:val="m5639379716884209249text2"/>
              <w:spacing w:beforeAutospacing="0" w:after="0" w:afterAutospacing="0"/>
              <w:ind w:left="284"/>
              <w:jc w:val="both"/>
            </w:pPr>
            <w:r>
              <w:t>-71.5 to -72.5%</w:t>
            </w:r>
          </w:p>
        </w:tc>
        <w:tc>
          <w:tcPr>
            <w:tcW w:w="1701" w:type="dxa"/>
            <w:tcMar>
              <w:top w:w="0" w:type="dxa"/>
              <w:left w:w="108" w:type="dxa"/>
              <w:bottom w:w="0" w:type="dxa"/>
              <w:right w:w="108" w:type="dxa"/>
            </w:tcMar>
            <w:vAlign w:val="center"/>
            <w:hideMark/>
          </w:tcPr>
          <w:p w14:paraId="56D304A8" w14:textId="77777777" w:rsidR="00EA7EA0" w:rsidRDefault="00EA7EA0" w:rsidP="002A5A2D">
            <w:pPr>
              <w:pStyle w:val="m5639379716884209249text2"/>
              <w:spacing w:beforeAutospacing="0" w:after="0" w:afterAutospacing="0"/>
              <w:ind w:left="284"/>
              <w:jc w:val="both"/>
            </w:pPr>
            <w:r>
              <w:t>-70 to -78%</w:t>
            </w:r>
          </w:p>
        </w:tc>
      </w:tr>
    </w:tbl>
    <w:p w14:paraId="116A2D52" w14:textId="77777777" w:rsidR="00EA7EA0" w:rsidRPr="00AF2503" w:rsidRDefault="00EA7EA0" w:rsidP="002A5A2D">
      <w:pPr>
        <w:spacing w:before="100" w:beforeAutospacing="1" w:after="100" w:afterAutospacing="1"/>
        <w:jc w:val="both"/>
        <w:rPr>
          <w:rFonts w:ascii="Calibri" w:hAnsi="Calibri"/>
          <w:lang w:val="fr-BE"/>
        </w:rPr>
      </w:pPr>
      <w:r w:rsidRPr="00AF2503">
        <w:rPr>
          <w:sz w:val="20"/>
          <w:szCs w:val="20"/>
          <w:lang w:val="fr-BE"/>
        </w:rPr>
        <w:t xml:space="preserve">Source: </w:t>
      </w:r>
      <w:hyperlink r:id="rId12" w:history="1">
        <w:r w:rsidRPr="00AF2503">
          <w:rPr>
            <w:rStyle w:val="Hipercze"/>
            <w:sz w:val="20"/>
            <w:szCs w:val="20"/>
            <w:lang w:val="fr-BE"/>
          </w:rPr>
          <w:t>https://eur-lex.europa.eu/legal-content/EN/TXT/?uri=CELEX:52011SC0288</w:t>
        </w:r>
      </w:hyperlink>
      <w:r w:rsidRPr="00AF2503">
        <w:rPr>
          <w:sz w:val="20"/>
          <w:szCs w:val="20"/>
          <w:lang w:val="fr-BE"/>
        </w:rPr>
        <w:t xml:space="preserve"> </w:t>
      </w:r>
    </w:p>
    <w:p w14:paraId="315960C2" w14:textId="77777777" w:rsidR="00EA7EA0" w:rsidRPr="00AF2503" w:rsidRDefault="00EA7EA0" w:rsidP="002A5A2D">
      <w:pPr>
        <w:jc w:val="both"/>
        <w:rPr>
          <w:lang w:val="fr-BE"/>
        </w:rPr>
      </w:pPr>
    </w:p>
    <w:p w14:paraId="4CE1AE45" w14:textId="77777777" w:rsidR="00EA7EA0" w:rsidRPr="00AF2503" w:rsidRDefault="00EA7EA0" w:rsidP="002A5A2D">
      <w:pPr>
        <w:pStyle w:val="Zwykytekst"/>
        <w:jc w:val="both"/>
        <w:rPr>
          <w:lang w:val="fr-BE"/>
        </w:rPr>
      </w:pPr>
    </w:p>
    <w:p w14:paraId="08E764F6" w14:textId="77777777" w:rsidR="00EA7EA0" w:rsidRPr="00AF2503" w:rsidRDefault="00EA7EA0" w:rsidP="002A5A2D">
      <w:pPr>
        <w:jc w:val="both"/>
        <w:rPr>
          <w:lang w:val="fr-BE"/>
        </w:rPr>
      </w:pPr>
    </w:p>
    <w:sectPr w:rsidR="00EA7EA0" w:rsidRPr="00AF2503">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0D6BE" w14:textId="77777777" w:rsidR="005D12EC" w:rsidRDefault="005D12EC" w:rsidP="00E33201">
      <w:pPr>
        <w:spacing w:after="0" w:line="240" w:lineRule="auto"/>
      </w:pPr>
      <w:r>
        <w:separator/>
      </w:r>
    </w:p>
  </w:endnote>
  <w:endnote w:type="continuationSeparator" w:id="0">
    <w:p w14:paraId="20860594" w14:textId="77777777" w:rsidR="005D12EC" w:rsidRDefault="005D12EC" w:rsidP="00E33201">
      <w:pPr>
        <w:spacing w:after="0" w:line="240" w:lineRule="auto"/>
      </w:pPr>
      <w:r>
        <w:continuationSeparator/>
      </w:r>
    </w:p>
  </w:endnote>
  <w:endnote w:type="continuationNotice" w:id="1">
    <w:p w14:paraId="5D9F1D54" w14:textId="77777777" w:rsidR="005D12EC" w:rsidRDefault="005D1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711248"/>
      <w:docPartObj>
        <w:docPartGallery w:val="Page Numbers (Bottom of Page)"/>
        <w:docPartUnique/>
      </w:docPartObj>
    </w:sdtPr>
    <w:sdtEndPr>
      <w:rPr>
        <w:color w:val="808080" w:themeColor="background1" w:themeShade="80"/>
        <w:spacing w:val="60"/>
      </w:rPr>
    </w:sdtEndPr>
    <w:sdtContent>
      <w:p w14:paraId="6BE0117E" w14:textId="106A91D8" w:rsidR="00F91D35" w:rsidRDefault="00F91D35">
        <w:pPr>
          <w:pStyle w:val="Stopka"/>
          <w:pBdr>
            <w:top w:val="single" w:sz="4" w:space="1" w:color="D9D9D9" w:themeColor="background1" w:themeShade="D9"/>
          </w:pBdr>
          <w:jc w:val="right"/>
        </w:pPr>
        <w:r>
          <w:fldChar w:fldCharType="begin"/>
        </w:r>
        <w:r>
          <w:instrText xml:space="preserve"> PAGE   \* MERGEFORMAT </w:instrText>
        </w:r>
        <w:r>
          <w:fldChar w:fldCharType="separate"/>
        </w:r>
        <w:r w:rsidR="00990CDD">
          <w:rPr>
            <w:noProof/>
          </w:rPr>
          <w:t>1</w:t>
        </w:r>
        <w:r>
          <w:rPr>
            <w:noProof/>
          </w:rPr>
          <w:fldChar w:fldCharType="end"/>
        </w:r>
        <w:r>
          <w:t xml:space="preserve"> | </w:t>
        </w:r>
        <w:r>
          <w:rPr>
            <w:color w:val="808080" w:themeColor="background1" w:themeShade="80"/>
            <w:spacing w:val="60"/>
          </w:rPr>
          <w:t>Page</w:t>
        </w:r>
      </w:p>
    </w:sdtContent>
  </w:sdt>
  <w:p w14:paraId="0E0BF5F4" w14:textId="77777777" w:rsidR="00F91D35" w:rsidRDefault="00F91D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6DEBD" w14:textId="77777777" w:rsidR="005D12EC" w:rsidRDefault="005D12EC" w:rsidP="00E33201">
      <w:pPr>
        <w:spacing w:after="0" w:line="240" w:lineRule="auto"/>
      </w:pPr>
      <w:r>
        <w:separator/>
      </w:r>
    </w:p>
  </w:footnote>
  <w:footnote w:type="continuationSeparator" w:id="0">
    <w:p w14:paraId="3C768313" w14:textId="77777777" w:rsidR="005D12EC" w:rsidRDefault="005D12EC" w:rsidP="00E33201">
      <w:pPr>
        <w:spacing w:after="0" w:line="240" w:lineRule="auto"/>
      </w:pPr>
      <w:r>
        <w:continuationSeparator/>
      </w:r>
    </w:p>
  </w:footnote>
  <w:footnote w:type="continuationNotice" w:id="1">
    <w:p w14:paraId="7A827EE1" w14:textId="77777777" w:rsidR="005D12EC" w:rsidRDefault="005D12EC">
      <w:pPr>
        <w:spacing w:after="0" w:line="240" w:lineRule="auto"/>
      </w:pPr>
    </w:p>
  </w:footnote>
  <w:footnote w:id="2">
    <w:p w14:paraId="4B7DF067" w14:textId="77777777" w:rsidR="00F91D35" w:rsidRPr="008C7004" w:rsidRDefault="00F91D35" w:rsidP="00592B35">
      <w:pPr>
        <w:pStyle w:val="Tekstprzypisudolnego"/>
        <w:rPr>
          <w:sz w:val="18"/>
          <w:szCs w:val="18"/>
        </w:rPr>
      </w:pPr>
      <w:r w:rsidRPr="008C7004">
        <w:rPr>
          <w:rStyle w:val="Odwoanieprzypisudolnego"/>
          <w:sz w:val="18"/>
          <w:szCs w:val="18"/>
        </w:rPr>
        <w:footnoteRef/>
      </w:r>
      <w:r w:rsidRPr="008C7004">
        <w:rPr>
          <w:sz w:val="18"/>
          <w:szCs w:val="18"/>
        </w:rPr>
        <w:t xml:space="preserve"> </w:t>
      </w:r>
      <w:hyperlink r:id="rId1" w:history="1">
        <w:r w:rsidRPr="008C7004">
          <w:rPr>
            <w:rStyle w:val="Hipercze"/>
            <w:sz w:val="18"/>
            <w:szCs w:val="18"/>
          </w:rPr>
          <w:t>https://ec.europa.eu/info/sites/info/files/180730-teg-statement_en.pdf</w:t>
        </w:r>
      </w:hyperlink>
      <w:r w:rsidRPr="008C7004">
        <w:rPr>
          <w:sz w:val="18"/>
          <w:szCs w:val="18"/>
        </w:rPr>
        <w:t xml:space="preserve"> </w:t>
      </w:r>
    </w:p>
  </w:footnote>
  <w:footnote w:id="3">
    <w:p w14:paraId="397C8A91" w14:textId="002C9BC5" w:rsidR="00F91D35" w:rsidRPr="008C7004" w:rsidRDefault="00F91D35" w:rsidP="00592B35">
      <w:pPr>
        <w:rPr>
          <w:sz w:val="18"/>
          <w:szCs w:val="18"/>
        </w:rPr>
      </w:pPr>
      <w:r w:rsidRPr="008C7004">
        <w:rPr>
          <w:rStyle w:val="Odwoanieprzypisudolnego"/>
          <w:sz w:val="18"/>
          <w:szCs w:val="18"/>
        </w:rPr>
        <w:footnoteRef/>
      </w:r>
      <w:r w:rsidRPr="008C7004">
        <w:rPr>
          <w:sz w:val="18"/>
          <w:szCs w:val="18"/>
        </w:rPr>
        <w:t xml:space="preserve"> Within the framework of the Taxonomy proposal, and as contai</w:t>
      </w:r>
      <w:r>
        <w:rPr>
          <w:sz w:val="18"/>
          <w:szCs w:val="18"/>
        </w:rPr>
        <w:t>ned in the scoping paper, the TE</w:t>
      </w:r>
      <w:r w:rsidRPr="008C7004">
        <w:rPr>
          <w:sz w:val="18"/>
          <w:szCs w:val="18"/>
        </w:rPr>
        <w:t>G is tasked to:</w:t>
      </w:r>
    </w:p>
    <w:p w14:paraId="79DCACC5" w14:textId="77777777" w:rsidR="00F91D35" w:rsidRPr="008C7004" w:rsidRDefault="00F91D35" w:rsidP="002A5A2D">
      <w:pPr>
        <w:pStyle w:val="Akapitzlist"/>
        <w:numPr>
          <w:ilvl w:val="0"/>
          <w:numId w:val="32"/>
        </w:numPr>
        <w:ind w:left="360"/>
        <w:rPr>
          <w:sz w:val="18"/>
          <w:szCs w:val="18"/>
        </w:rPr>
      </w:pPr>
      <w:r w:rsidRPr="008C7004">
        <w:rPr>
          <w:sz w:val="18"/>
          <w:szCs w:val="18"/>
        </w:rPr>
        <w:t>Determine a list of environmentally sustainable economic activities:</w:t>
      </w:r>
    </w:p>
    <w:p w14:paraId="21DD0871" w14:textId="77777777" w:rsidR="00F91D35" w:rsidRPr="008C7004" w:rsidRDefault="00F91D35" w:rsidP="002A5A2D">
      <w:pPr>
        <w:pStyle w:val="Akapitzlist"/>
        <w:numPr>
          <w:ilvl w:val="0"/>
          <w:numId w:val="45"/>
        </w:numPr>
        <w:rPr>
          <w:sz w:val="18"/>
          <w:szCs w:val="18"/>
        </w:rPr>
      </w:pPr>
      <w:r w:rsidRPr="008C7004">
        <w:rPr>
          <w:sz w:val="18"/>
          <w:szCs w:val="18"/>
        </w:rPr>
        <w:t>contributing substantially to a given environmental objective as defined in Articles 6 to 11, starting with climate change mitigation and adaption;</w:t>
      </w:r>
    </w:p>
    <w:p w14:paraId="379988BB" w14:textId="77777777" w:rsidR="00F91D35" w:rsidRPr="008C7004" w:rsidRDefault="00F91D35" w:rsidP="002A5A2D">
      <w:pPr>
        <w:pStyle w:val="Akapitzlist"/>
        <w:numPr>
          <w:ilvl w:val="0"/>
          <w:numId w:val="45"/>
        </w:numPr>
        <w:rPr>
          <w:sz w:val="18"/>
          <w:szCs w:val="18"/>
        </w:rPr>
      </w:pPr>
      <w:r w:rsidRPr="008C7004">
        <w:rPr>
          <w:sz w:val="18"/>
          <w:szCs w:val="18"/>
        </w:rPr>
        <w:t>not significantly harming any environmental objective.</w:t>
      </w:r>
    </w:p>
    <w:p w14:paraId="181F31D2" w14:textId="77777777" w:rsidR="00F91D35" w:rsidRPr="008C7004" w:rsidRDefault="00F91D35" w:rsidP="002A5A2D">
      <w:pPr>
        <w:pStyle w:val="Akapitzlist"/>
        <w:numPr>
          <w:ilvl w:val="0"/>
          <w:numId w:val="32"/>
        </w:numPr>
        <w:ind w:left="360"/>
        <w:rPr>
          <w:sz w:val="18"/>
          <w:szCs w:val="18"/>
        </w:rPr>
      </w:pPr>
      <w:r w:rsidRPr="008C7004">
        <w:rPr>
          <w:sz w:val="18"/>
          <w:szCs w:val="18"/>
        </w:rPr>
        <w:t>Assess the implications of the taxonomy considering the potential environmental, economic and financial (market) impacts.</w:t>
      </w:r>
    </w:p>
    <w:p w14:paraId="7FC70E7E" w14:textId="77777777" w:rsidR="00F91D35" w:rsidRPr="008C7004" w:rsidRDefault="00F91D35" w:rsidP="002A5A2D">
      <w:pPr>
        <w:pStyle w:val="Akapitzlist"/>
        <w:numPr>
          <w:ilvl w:val="0"/>
          <w:numId w:val="32"/>
        </w:numPr>
        <w:ind w:left="360"/>
        <w:rPr>
          <w:sz w:val="18"/>
          <w:szCs w:val="18"/>
        </w:rPr>
      </w:pPr>
      <w:r w:rsidRPr="008C7004">
        <w:rPr>
          <w:sz w:val="18"/>
          <w:szCs w:val="18"/>
        </w:rPr>
        <w:t>Ensure coherence with the work of other sub-groups of the TEG, notably the sub-groups on EU Green Bond Standards, on low-carbon benchmarks methodologies and on metrics for climate related disclosure.</w:t>
      </w:r>
    </w:p>
    <w:p w14:paraId="1283E360" w14:textId="77777777" w:rsidR="00F91D35" w:rsidRPr="00592B35" w:rsidRDefault="00F91D35">
      <w:pPr>
        <w:pStyle w:val="Tekstprzypisudolnego"/>
      </w:pPr>
    </w:p>
  </w:footnote>
  <w:footnote w:id="4">
    <w:p w14:paraId="68B6870E" w14:textId="77777777" w:rsidR="00F91D35" w:rsidRPr="008C7004" w:rsidRDefault="00F91D35" w:rsidP="00622FC5">
      <w:pPr>
        <w:pStyle w:val="Tekstprzypisudolnego"/>
        <w:rPr>
          <w:sz w:val="18"/>
          <w:szCs w:val="18"/>
          <w:lang w:val="fr-BE"/>
        </w:rPr>
      </w:pPr>
      <w:r w:rsidRPr="008C7004">
        <w:rPr>
          <w:rStyle w:val="Odwoanieprzypisudolnego"/>
          <w:sz w:val="18"/>
          <w:szCs w:val="18"/>
        </w:rPr>
        <w:footnoteRef/>
      </w:r>
      <w:r w:rsidRPr="008C7004">
        <w:rPr>
          <w:sz w:val="18"/>
          <w:szCs w:val="18"/>
          <w:lang w:val="fr-BE"/>
        </w:rPr>
        <w:t xml:space="preserve"> </w:t>
      </w:r>
      <w:r w:rsidRPr="008C7004">
        <w:rPr>
          <w:rFonts w:ascii="Calibri" w:hAnsi="Calibri" w:cs="Calibri"/>
          <w:sz w:val="18"/>
          <w:szCs w:val="18"/>
          <w:lang w:val="fr-BE"/>
        </w:rPr>
        <w:t>(</w:t>
      </w:r>
      <w:r w:rsidRPr="008C7004">
        <w:rPr>
          <w:rFonts w:ascii="Calibri" w:hAnsi="Calibri" w:cs="Calibri"/>
          <w:i/>
          <w:iCs/>
          <w:sz w:val="18"/>
          <w:szCs w:val="18"/>
          <w:lang w:val="fr-BE"/>
        </w:rPr>
        <w:t>Nomenclature generale des Activites economiques dans les Communautes europeennes</w:t>
      </w:r>
      <w:r w:rsidRPr="008C7004">
        <w:rPr>
          <w:rFonts w:ascii="Calibri" w:hAnsi="Calibri" w:cs="Calibri"/>
          <w:sz w:val="18"/>
          <w:szCs w:val="18"/>
          <w:lang w:val="fr-BE"/>
        </w:rPr>
        <w:t>)</w:t>
      </w:r>
    </w:p>
  </w:footnote>
  <w:footnote w:id="5">
    <w:p w14:paraId="3D68123B" w14:textId="77777777" w:rsidR="00F91D35" w:rsidRPr="008C7004" w:rsidRDefault="00F91D35" w:rsidP="00C341E5">
      <w:pPr>
        <w:pStyle w:val="Tekstprzypisudolnego"/>
        <w:rPr>
          <w:sz w:val="18"/>
          <w:szCs w:val="18"/>
        </w:rPr>
      </w:pPr>
      <w:r w:rsidRPr="008C7004">
        <w:rPr>
          <w:rStyle w:val="Odwoanieprzypisudolnego"/>
          <w:sz w:val="18"/>
          <w:szCs w:val="18"/>
        </w:rPr>
        <w:footnoteRef/>
      </w:r>
      <w:r w:rsidRPr="008C7004">
        <w:rPr>
          <w:sz w:val="18"/>
          <w:szCs w:val="18"/>
        </w:rPr>
        <w:t xml:space="preserve"> (</w:t>
      </w:r>
      <w:r w:rsidRPr="008C7004">
        <w:rPr>
          <w:i/>
          <w:sz w:val="18"/>
          <w:szCs w:val="18"/>
        </w:rPr>
        <w:t>Global Industry Classification Standard</w:t>
      </w:r>
      <w:r w:rsidRPr="008C7004">
        <w:rPr>
          <w:sz w:val="18"/>
          <w:szCs w:val="18"/>
        </w:rPr>
        <w:t>)</w:t>
      </w:r>
    </w:p>
  </w:footnote>
  <w:footnote w:id="6">
    <w:p w14:paraId="5C903BB9" w14:textId="77777777" w:rsidR="00F91D35" w:rsidRPr="008C7004" w:rsidRDefault="00F91D35" w:rsidP="00020B38">
      <w:pPr>
        <w:pStyle w:val="Tekstprzypisudolnego"/>
        <w:rPr>
          <w:rFonts w:cstheme="minorHAnsi"/>
          <w:sz w:val="18"/>
          <w:szCs w:val="18"/>
        </w:rPr>
      </w:pPr>
      <w:r w:rsidRPr="008C7004">
        <w:rPr>
          <w:rStyle w:val="Odwoanieprzypisudolnego"/>
          <w:sz w:val="18"/>
          <w:szCs w:val="18"/>
        </w:rPr>
        <w:footnoteRef/>
      </w:r>
      <w:r w:rsidRPr="008C7004">
        <w:rPr>
          <w:sz w:val="18"/>
          <w:szCs w:val="18"/>
        </w:rPr>
        <w:t xml:space="preserve"> (</w:t>
      </w:r>
      <w:r w:rsidRPr="008C7004">
        <w:rPr>
          <w:rFonts w:cstheme="minorHAnsi"/>
          <w:i/>
          <w:sz w:val="18"/>
          <w:szCs w:val="18"/>
        </w:rPr>
        <w:t>Classification of Products by Activity)</w:t>
      </w:r>
    </w:p>
  </w:footnote>
  <w:footnote w:id="7">
    <w:p w14:paraId="244FFD54" w14:textId="77777777" w:rsidR="00F91D35" w:rsidRPr="000A4B17" w:rsidRDefault="00F91D35">
      <w:pPr>
        <w:pStyle w:val="Tekstprzypisudolnego"/>
        <w:rPr>
          <w:sz w:val="18"/>
          <w:szCs w:val="18"/>
        </w:rPr>
      </w:pPr>
      <w:r w:rsidRPr="008C7004">
        <w:rPr>
          <w:rStyle w:val="Odwoanieprzypisudolnego"/>
          <w:rFonts w:cstheme="minorHAnsi"/>
          <w:sz w:val="18"/>
          <w:szCs w:val="18"/>
        </w:rPr>
        <w:footnoteRef/>
      </w:r>
      <w:r w:rsidRPr="000A4B17">
        <w:rPr>
          <w:rFonts w:cstheme="minorHAnsi"/>
          <w:sz w:val="18"/>
          <w:szCs w:val="18"/>
        </w:rPr>
        <w:t xml:space="preserve"> (</w:t>
      </w:r>
      <w:proofErr w:type="spellStart"/>
      <w:r w:rsidRPr="000A4B17">
        <w:rPr>
          <w:rFonts w:cstheme="minorHAnsi"/>
          <w:i/>
          <w:color w:val="000000"/>
          <w:sz w:val="18"/>
          <w:szCs w:val="18"/>
          <w:shd w:val="clear" w:color="auto" w:fill="FFFFFF"/>
        </w:rPr>
        <w:t>PRODuction</w:t>
      </w:r>
      <w:proofErr w:type="spellEnd"/>
      <w:r w:rsidRPr="000A4B17">
        <w:rPr>
          <w:rFonts w:cstheme="minorHAnsi"/>
          <w:i/>
          <w:color w:val="000000"/>
          <w:sz w:val="18"/>
          <w:szCs w:val="18"/>
          <w:shd w:val="clear" w:color="auto" w:fill="FFFFFF"/>
        </w:rPr>
        <w:t xml:space="preserve"> </w:t>
      </w:r>
      <w:proofErr w:type="spellStart"/>
      <w:r w:rsidRPr="000A4B17">
        <w:rPr>
          <w:rFonts w:cstheme="minorHAnsi"/>
          <w:i/>
          <w:color w:val="000000"/>
          <w:sz w:val="18"/>
          <w:szCs w:val="18"/>
          <w:shd w:val="clear" w:color="auto" w:fill="FFFFFF"/>
        </w:rPr>
        <w:t>COMmunautaire</w:t>
      </w:r>
      <w:proofErr w:type="spellEnd"/>
      <w:r w:rsidRPr="000A4B17">
        <w:rPr>
          <w:rFonts w:cstheme="minorHAnsi"/>
          <w:i/>
          <w:color w:val="000000"/>
          <w:sz w:val="18"/>
          <w:szCs w:val="18"/>
          <w:shd w:val="clear" w:color="auto" w:fill="FFFFFF"/>
        </w:rPr>
        <w:t>)</w:t>
      </w:r>
    </w:p>
  </w:footnote>
  <w:footnote w:id="8">
    <w:p w14:paraId="6408FB2B" w14:textId="590D2064" w:rsidR="00F91D35" w:rsidRPr="000A4B17" w:rsidRDefault="00F91D35">
      <w:pPr>
        <w:pStyle w:val="Tekstprzypisudolnego"/>
        <w:rPr>
          <w:sz w:val="18"/>
          <w:szCs w:val="18"/>
        </w:rPr>
      </w:pPr>
      <w:r w:rsidRPr="000A4B17">
        <w:rPr>
          <w:rStyle w:val="Odwoanieprzypisudolnego"/>
          <w:sz w:val="18"/>
          <w:szCs w:val="18"/>
        </w:rPr>
        <w:footnoteRef/>
      </w:r>
      <w:r w:rsidRPr="000A4B17">
        <w:rPr>
          <w:sz w:val="18"/>
          <w:szCs w:val="18"/>
        </w:rPr>
        <w:t xml:space="preserve"> And possibly any other widely used market-based classifications  </w:t>
      </w:r>
    </w:p>
  </w:footnote>
  <w:footnote w:id="9">
    <w:p w14:paraId="2BB6402E" w14:textId="2F7E89BE" w:rsidR="00F91D35" w:rsidRPr="000A4B17" w:rsidRDefault="00F91D35">
      <w:pPr>
        <w:pStyle w:val="Tekstprzypisudolnego"/>
      </w:pPr>
      <w:r w:rsidRPr="008C7004">
        <w:rPr>
          <w:rStyle w:val="Odwoanieprzypisudolnego"/>
          <w:sz w:val="18"/>
          <w:szCs w:val="18"/>
        </w:rPr>
        <w:footnoteRef/>
      </w:r>
      <w:r w:rsidRPr="000A4B17">
        <w:rPr>
          <w:sz w:val="18"/>
          <w:szCs w:val="18"/>
        </w:rPr>
        <w:t xml:space="preserve"> </w:t>
      </w:r>
      <w:hyperlink r:id="rId2" w:history="1">
        <w:r w:rsidRPr="000A4B17">
          <w:rPr>
            <w:rStyle w:val="Hipercze"/>
            <w:sz w:val="18"/>
            <w:szCs w:val="18"/>
          </w:rPr>
          <w:t>https://ec.europa.eu/info/sites/info/files/180131-sustainable-finance-final-report-annex-3_en.pdf</w:t>
        </w:r>
      </w:hyperlink>
      <w:r w:rsidRPr="000A4B17">
        <w:t xml:space="preserve"> </w:t>
      </w:r>
    </w:p>
  </w:footnote>
  <w:footnote w:id="10">
    <w:p w14:paraId="09C8F530" w14:textId="15D75FDA" w:rsidR="00F91D35" w:rsidRPr="008C7004" w:rsidRDefault="00F91D35" w:rsidP="002A5A2D">
      <w:pPr>
        <w:jc w:val="both"/>
        <w:rPr>
          <w:i/>
          <w:sz w:val="18"/>
          <w:szCs w:val="18"/>
        </w:rPr>
      </w:pPr>
      <w:r w:rsidRPr="008C7004">
        <w:rPr>
          <w:rStyle w:val="Odwoanieprzypisudolnego"/>
          <w:sz w:val="18"/>
          <w:szCs w:val="18"/>
        </w:rPr>
        <w:footnoteRef/>
      </w:r>
      <w:r w:rsidRPr="008C7004">
        <w:rPr>
          <w:sz w:val="18"/>
          <w:szCs w:val="18"/>
        </w:rPr>
        <w:t xml:space="preserve"> In order to be clear on </w:t>
      </w:r>
      <w:r>
        <w:rPr>
          <w:sz w:val="18"/>
          <w:szCs w:val="18"/>
        </w:rPr>
        <w:t>what is meant by “threshold”, TE</w:t>
      </w:r>
      <w:r w:rsidRPr="008C7004">
        <w:rPr>
          <w:sz w:val="18"/>
          <w:szCs w:val="18"/>
        </w:rPr>
        <w:t xml:space="preserve">G proposes the following: </w:t>
      </w:r>
      <w:r w:rsidRPr="008C7004">
        <w:rPr>
          <w:i/>
          <w:sz w:val="18"/>
          <w:szCs w:val="18"/>
        </w:rPr>
        <w:t xml:space="preserve">a limit value, expressed in terms of an indicator, which may not be exceeded by the economic activity during one or more periods of time. </w:t>
      </w:r>
    </w:p>
  </w:footnote>
  <w:footnote w:id="11">
    <w:p w14:paraId="7D72E90F" w14:textId="0A237A9B" w:rsidR="00F91D35" w:rsidRPr="008C7004" w:rsidRDefault="00F91D35">
      <w:pPr>
        <w:pStyle w:val="Tekstprzypisudolnego"/>
        <w:rPr>
          <w:sz w:val="18"/>
          <w:szCs w:val="18"/>
        </w:rPr>
      </w:pPr>
      <w:r w:rsidRPr="008C7004">
        <w:rPr>
          <w:rStyle w:val="Odwoanieprzypisudolnego"/>
          <w:sz w:val="18"/>
          <w:szCs w:val="18"/>
        </w:rPr>
        <w:footnoteRef/>
      </w:r>
      <w:r w:rsidRPr="008C7004">
        <w:rPr>
          <w:sz w:val="18"/>
          <w:szCs w:val="18"/>
        </w:rPr>
        <w:t xml:space="preserve"> Separately, minimum social safeguards are</w:t>
      </w:r>
      <w:r>
        <w:rPr>
          <w:sz w:val="18"/>
          <w:szCs w:val="18"/>
        </w:rPr>
        <w:t xml:space="preserve"> also</w:t>
      </w:r>
      <w:r w:rsidRPr="008C7004">
        <w:rPr>
          <w:sz w:val="18"/>
          <w:szCs w:val="18"/>
        </w:rPr>
        <w:t xml:space="preserve"> </w:t>
      </w:r>
      <w:r>
        <w:rPr>
          <w:sz w:val="18"/>
          <w:szCs w:val="18"/>
        </w:rPr>
        <w:t>proposed</w:t>
      </w:r>
      <w:r w:rsidRPr="008C7004">
        <w:rPr>
          <w:sz w:val="18"/>
          <w:szCs w:val="18"/>
        </w:rPr>
        <w:t xml:space="preserve"> in the Level 1 text</w:t>
      </w:r>
      <w:r>
        <w:rPr>
          <w:sz w:val="18"/>
          <w:szCs w:val="18"/>
        </w:rPr>
        <w:t>, where however no delegated acts are envisaged</w:t>
      </w:r>
      <w:r w:rsidRPr="008C7004">
        <w:rPr>
          <w:sz w:val="18"/>
          <w:szCs w:val="18"/>
        </w:rPr>
        <w:t xml:space="preserve">. </w:t>
      </w:r>
    </w:p>
  </w:footnote>
  <w:footnote w:id="12">
    <w:p w14:paraId="122F727A" w14:textId="46473D88" w:rsidR="00F91D35" w:rsidRPr="00846B93" w:rsidRDefault="00F91D35">
      <w:pPr>
        <w:pStyle w:val="Tekstprzypisudolnego"/>
      </w:pPr>
      <w:r>
        <w:rPr>
          <w:rStyle w:val="Odwoanieprzypisudolnego"/>
        </w:rPr>
        <w:footnoteRef/>
      </w:r>
      <w:r>
        <w:t xml:space="preserve"> The group - together with the Commission - will also put online a more extensive Q&amp;A regarding the work of the TEG that will answer most of the questions that currently arise in the industry.</w:t>
      </w:r>
    </w:p>
  </w:footnote>
  <w:footnote w:id="13">
    <w:p w14:paraId="3C63CE40" w14:textId="77777777" w:rsidR="00F91D35" w:rsidRPr="008C7004" w:rsidRDefault="00F91D35" w:rsidP="001C0EF6">
      <w:pPr>
        <w:pStyle w:val="Tekstprzypisudolnego"/>
        <w:rPr>
          <w:sz w:val="18"/>
          <w:szCs w:val="18"/>
        </w:rPr>
      </w:pPr>
      <w:r w:rsidRPr="008C7004">
        <w:rPr>
          <w:rStyle w:val="Odwoanieprzypisudolnego"/>
          <w:sz w:val="18"/>
          <w:szCs w:val="18"/>
        </w:rPr>
        <w:footnoteRef/>
      </w:r>
      <w:r w:rsidRPr="008C7004">
        <w:rPr>
          <w:sz w:val="18"/>
          <w:szCs w:val="18"/>
        </w:rPr>
        <w:t xml:space="preserve"> </w:t>
      </w:r>
      <w:hyperlink r:id="rId3" w:history="1">
        <w:r w:rsidRPr="008C7004">
          <w:rPr>
            <w:rStyle w:val="Hipercze"/>
            <w:sz w:val="18"/>
            <w:szCs w:val="18"/>
          </w:rPr>
          <w:t>https://ec.europa.eu/energy/en/topics/energy-efficiency/buildings</w:t>
        </w:r>
      </w:hyperlink>
      <w:r w:rsidRPr="008C7004">
        <w:rPr>
          <w:sz w:val="18"/>
          <w:szCs w:val="18"/>
        </w:rPr>
        <w:t xml:space="preserve"> </w:t>
      </w:r>
    </w:p>
  </w:footnote>
  <w:footnote w:id="14">
    <w:p w14:paraId="5BEC3302" w14:textId="77777777" w:rsidR="00F91D35" w:rsidRPr="008C7004" w:rsidRDefault="00F91D35" w:rsidP="009E029F">
      <w:pPr>
        <w:rPr>
          <w:sz w:val="18"/>
          <w:szCs w:val="18"/>
        </w:rPr>
      </w:pPr>
      <w:r w:rsidRPr="008C7004">
        <w:rPr>
          <w:rStyle w:val="Odwoanieprzypisudolnego"/>
          <w:sz w:val="18"/>
          <w:szCs w:val="18"/>
        </w:rPr>
        <w:footnoteRef/>
      </w:r>
      <w:r w:rsidRPr="008C7004">
        <w:rPr>
          <w:sz w:val="18"/>
          <w:szCs w:val="18"/>
        </w:rPr>
        <w:t xml:space="preserve"> Extract from COMMISSION STAFF WORKING DOCUMENT IMPACT ASSESSMENT Accompanying document to the COMMUNICATION FROM THE COMMISSION TO THE EUROPEAN PARLIAMENT, THE COUNCIL, THE EUROPEAN ECONOMIC AND SOCIAL COMMITTEE AND THE COMMITTEE OF THE REGIONS A Roadmap for moving to a competitive low carbon economy in 2050 {COM(2011) 112 final} {SEC(2011) 289 final}. </w:t>
      </w:r>
    </w:p>
    <w:p w14:paraId="0F6DB1B1" w14:textId="77777777" w:rsidR="00F91D35" w:rsidRPr="009E029F" w:rsidRDefault="00F91D35">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3B4B"/>
    <w:multiLevelType w:val="hybridMultilevel"/>
    <w:tmpl w:val="2B06F248"/>
    <w:lvl w:ilvl="0" w:tplc="B41AE5D6">
      <w:start w:val="1"/>
      <w:numFmt w:val="lowerLetter"/>
      <w:pStyle w:val="Nagwek3"/>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29C588F"/>
    <w:multiLevelType w:val="hybridMultilevel"/>
    <w:tmpl w:val="377CE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BA67CD"/>
    <w:multiLevelType w:val="hybridMultilevel"/>
    <w:tmpl w:val="BD120B36"/>
    <w:lvl w:ilvl="0" w:tplc="0809000F">
      <w:start w:val="1"/>
      <w:numFmt w:val="decimal"/>
      <w:lvlText w:val="%1."/>
      <w:lvlJc w:val="left"/>
      <w:pPr>
        <w:ind w:left="360" w:hanging="360"/>
      </w:pPr>
    </w:lvl>
    <w:lvl w:ilvl="1" w:tplc="0809000F">
      <w:start w:val="1"/>
      <w:numFmt w:val="decimal"/>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nsid w:val="0ECC65AD"/>
    <w:multiLevelType w:val="hybridMultilevel"/>
    <w:tmpl w:val="D2FA7FA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BE147E"/>
    <w:multiLevelType w:val="multilevel"/>
    <w:tmpl w:val="D4BEF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E116DB"/>
    <w:multiLevelType w:val="hybridMultilevel"/>
    <w:tmpl w:val="C9AA03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A96259E"/>
    <w:multiLevelType w:val="hybridMultilevel"/>
    <w:tmpl w:val="4002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C952D56"/>
    <w:multiLevelType w:val="hybridMultilevel"/>
    <w:tmpl w:val="E67A707A"/>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nsid w:val="1F1357CB"/>
    <w:multiLevelType w:val="hybridMultilevel"/>
    <w:tmpl w:val="7DB28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F153214"/>
    <w:multiLevelType w:val="hybridMultilevel"/>
    <w:tmpl w:val="CB18DA5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1806229"/>
    <w:multiLevelType w:val="hybridMultilevel"/>
    <w:tmpl w:val="1ADCD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D8D34A8"/>
    <w:multiLevelType w:val="hybridMultilevel"/>
    <w:tmpl w:val="8480862C"/>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FF63CF5"/>
    <w:multiLevelType w:val="hybridMultilevel"/>
    <w:tmpl w:val="67B85542"/>
    <w:lvl w:ilvl="0" w:tplc="51D81C7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C1155B"/>
    <w:multiLevelType w:val="hybridMultilevel"/>
    <w:tmpl w:val="F80C8B2A"/>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23E78"/>
    <w:multiLevelType w:val="hybridMultilevel"/>
    <w:tmpl w:val="68305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FB35E8"/>
    <w:multiLevelType w:val="hybridMultilevel"/>
    <w:tmpl w:val="951E0C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92167ED"/>
    <w:multiLevelType w:val="hybridMultilevel"/>
    <w:tmpl w:val="5C826E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B1436E5"/>
    <w:multiLevelType w:val="hybridMultilevel"/>
    <w:tmpl w:val="3AB23532"/>
    <w:lvl w:ilvl="0" w:tplc="08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B1C5D7D"/>
    <w:multiLevelType w:val="hybridMultilevel"/>
    <w:tmpl w:val="9AF65D54"/>
    <w:lvl w:ilvl="0" w:tplc="E1AE5D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323B11"/>
    <w:multiLevelType w:val="multilevel"/>
    <w:tmpl w:val="2FBEDDF2"/>
    <w:lvl w:ilvl="0">
      <w:start w:val="1"/>
      <w:numFmt w:val="decimal"/>
      <w:pStyle w:val="Nagwek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19523F7"/>
    <w:multiLevelType w:val="hybridMultilevel"/>
    <w:tmpl w:val="056A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9127554"/>
    <w:multiLevelType w:val="hybridMultilevel"/>
    <w:tmpl w:val="B680F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F86263"/>
    <w:multiLevelType w:val="hybridMultilevel"/>
    <w:tmpl w:val="2B8A98D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nsid w:val="569A1412"/>
    <w:multiLevelType w:val="hybridMultilevel"/>
    <w:tmpl w:val="62C8FC9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5639FA"/>
    <w:multiLevelType w:val="hybridMultilevel"/>
    <w:tmpl w:val="26E20B8A"/>
    <w:lvl w:ilvl="0" w:tplc="F2A438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A3749E0"/>
    <w:multiLevelType w:val="hybridMultilevel"/>
    <w:tmpl w:val="602E57C6"/>
    <w:lvl w:ilvl="0" w:tplc="681A236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AEF40AD"/>
    <w:multiLevelType w:val="hybridMultilevel"/>
    <w:tmpl w:val="E52C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8C51B9"/>
    <w:multiLevelType w:val="hybridMultilevel"/>
    <w:tmpl w:val="DCFEB57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E692BC2"/>
    <w:multiLevelType w:val="hybridMultilevel"/>
    <w:tmpl w:val="C6A05F5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nsid w:val="5EED0304"/>
    <w:multiLevelType w:val="hybridMultilevel"/>
    <w:tmpl w:val="054224A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6070706D"/>
    <w:multiLevelType w:val="hybridMultilevel"/>
    <w:tmpl w:val="AE94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6E13D3"/>
    <w:multiLevelType w:val="hybridMultilevel"/>
    <w:tmpl w:val="86C6FEB6"/>
    <w:lvl w:ilvl="0" w:tplc="51D81C72">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40F5BA3"/>
    <w:multiLevelType w:val="hybridMultilevel"/>
    <w:tmpl w:val="9EC6C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4B66126"/>
    <w:multiLevelType w:val="hybridMultilevel"/>
    <w:tmpl w:val="E0303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081A90"/>
    <w:multiLevelType w:val="hybridMultilevel"/>
    <w:tmpl w:val="630E6E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7E3E64"/>
    <w:multiLevelType w:val="hybridMultilevel"/>
    <w:tmpl w:val="1C3ED4F0"/>
    <w:lvl w:ilvl="0" w:tplc="0809000F">
      <w:start w:val="1"/>
      <w:numFmt w:val="decimal"/>
      <w:lvlText w:val="%1."/>
      <w:lvlJc w:val="left"/>
      <w:pPr>
        <w:ind w:left="720" w:hanging="360"/>
      </w:pPr>
      <w:rPr>
        <w:rFonts w:hint="default"/>
      </w:rPr>
    </w:lvl>
    <w:lvl w:ilvl="1" w:tplc="2F16E372">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D923AD4"/>
    <w:multiLevelType w:val="hybridMultilevel"/>
    <w:tmpl w:val="0DAAB2C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E5918E1"/>
    <w:multiLevelType w:val="hybridMultilevel"/>
    <w:tmpl w:val="5E427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AB0EA7"/>
    <w:multiLevelType w:val="hybridMultilevel"/>
    <w:tmpl w:val="35B4B7E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9"/>
  </w:num>
  <w:num w:numId="2">
    <w:abstractNumId w:val="37"/>
  </w:num>
  <w:num w:numId="3">
    <w:abstractNumId w:val="5"/>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28"/>
  </w:num>
  <w:num w:numId="7">
    <w:abstractNumId w:val="12"/>
  </w:num>
  <w:num w:numId="8">
    <w:abstractNumId w:val="31"/>
  </w:num>
  <w:num w:numId="9">
    <w:abstractNumId w:val="11"/>
  </w:num>
  <w:num w:numId="10">
    <w:abstractNumId w:val="3"/>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0"/>
  </w:num>
  <w:num w:numId="14">
    <w:abstractNumId w:val="8"/>
  </w:num>
  <w:num w:numId="15">
    <w:abstractNumId w:val="21"/>
  </w:num>
  <w:num w:numId="16">
    <w:abstractNumId w:val="0"/>
  </w:num>
  <w:num w:numId="17">
    <w:abstractNumId w:val="27"/>
  </w:num>
  <w:num w:numId="18">
    <w:abstractNumId w:val="38"/>
  </w:num>
  <w:num w:numId="19">
    <w:abstractNumId w:val="10"/>
  </w:num>
  <w:num w:numId="20">
    <w:abstractNumId w:val="30"/>
  </w:num>
  <w:num w:numId="21">
    <w:abstractNumId w:val="32"/>
  </w:num>
  <w:num w:numId="22">
    <w:abstractNumId w:val="20"/>
  </w:num>
  <w:num w:numId="23">
    <w:abstractNumId w:val="33"/>
  </w:num>
  <w:num w:numId="24">
    <w:abstractNumId w:val="2"/>
  </w:num>
  <w:num w:numId="25">
    <w:abstractNumId w:val="14"/>
  </w:num>
  <w:num w:numId="26">
    <w:abstractNumId w:val="18"/>
  </w:num>
  <w:num w:numId="27">
    <w:abstractNumId w:val="25"/>
  </w:num>
  <w:num w:numId="28">
    <w:abstractNumId w:val="23"/>
  </w:num>
  <w:num w:numId="29">
    <w:abstractNumId w:val="4"/>
  </w:num>
  <w:num w:numId="30">
    <w:abstractNumId w:val="15"/>
  </w:num>
  <w:num w:numId="31">
    <w:abstractNumId w:val="24"/>
  </w:num>
  <w:num w:numId="32">
    <w:abstractNumId w:val="35"/>
  </w:num>
  <w:num w:numId="33">
    <w:abstractNumId w:val="36"/>
  </w:num>
  <w:num w:numId="34">
    <w:abstractNumId w:val="16"/>
  </w:num>
  <w:num w:numId="35">
    <w:abstractNumId w:val="9"/>
  </w:num>
  <w:num w:numId="36">
    <w:abstractNumId w:val="6"/>
  </w:num>
  <w:num w:numId="37">
    <w:abstractNumId w:val="26"/>
  </w:num>
  <w:num w:numId="38">
    <w:abstractNumId w:val="0"/>
    <w:lvlOverride w:ilvl="0">
      <w:startOverride w:val="1"/>
    </w:lvlOverride>
  </w:num>
  <w:num w:numId="39">
    <w:abstractNumId w:val="0"/>
    <w:lvlOverride w:ilvl="0">
      <w:startOverride w:val="1"/>
    </w:lvlOverride>
  </w:num>
  <w:num w:numId="40">
    <w:abstractNumId w:val="19"/>
  </w:num>
  <w:num w:numId="41">
    <w:abstractNumId w:val="1"/>
  </w:num>
  <w:num w:numId="42">
    <w:abstractNumId w:val="19"/>
  </w:num>
  <w:num w:numId="43">
    <w:abstractNumId w:val="0"/>
  </w:num>
  <w:num w:numId="44">
    <w:abstractNumId w:val="0"/>
  </w:num>
  <w:num w:numId="45">
    <w:abstractNumId w:val="13"/>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0"/>
  </w:num>
  <w:num w:numId="50">
    <w:abstractNumId w:val="0"/>
  </w:num>
  <w:num w:numId="51">
    <w:abstractNumId w:val="0"/>
  </w:num>
  <w:num w:numId="52">
    <w:abstractNumId w:val="0"/>
  </w:num>
  <w:num w:numId="53">
    <w:abstractNumId w:val="7"/>
  </w:num>
  <w:num w:numId="54">
    <w:abstractNumId w:val="29"/>
  </w:num>
  <w:num w:numId="55">
    <w:abstractNumId w:val="0"/>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381104"/>
    <w:rsid w:val="00001BBB"/>
    <w:rsid w:val="00001E8E"/>
    <w:rsid w:val="0001363F"/>
    <w:rsid w:val="00015855"/>
    <w:rsid w:val="000171CB"/>
    <w:rsid w:val="00020B38"/>
    <w:rsid w:val="0002726E"/>
    <w:rsid w:val="00027F86"/>
    <w:rsid w:val="00031E9D"/>
    <w:rsid w:val="00034B6F"/>
    <w:rsid w:val="0005055A"/>
    <w:rsid w:val="0006493C"/>
    <w:rsid w:val="0006774B"/>
    <w:rsid w:val="00071716"/>
    <w:rsid w:val="0007300C"/>
    <w:rsid w:val="00080E5C"/>
    <w:rsid w:val="00082D19"/>
    <w:rsid w:val="00086083"/>
    <w:rsid w:val="00091CEF"/>
    <w:rsid w:val="00093878"/>
    <w:rsid w:val="000969AF"/>
    <w:rsid w:val="000A15AE"/>
    <w:rsid w:val="000A4B17"/>
    <w:rsid w:val="000B0D61"/>
    <w:rsid w:val="000B6CD4"/>
    <w:rsid w:val="000D1580"/>
    <w:rsid w:val="000D22C4"/>
    <w:rsid w:val="000E2DC9"/>
    <w:rsid w:val="000E58AB"/>
    <w:rsid w:val="000E5A85"/>
    <w:rsid w:val="000F0D6B"/>
    <w:rsid w:val="001066AD"/>
    <w:rsid w:val="00106C35"/>
    <w:rsid w:val="001216A2"/>
    <w:rsid w:val="001239BE"/>
    <w:rsid w:val="00131228"/>
    <w:rsid w:val="00132B72"/>
    <w:rsid w:val="00141F6F"/>
    <w:rsid w:val="00142D2D"/>
    <w:rsid w:val="001504F5"/>
    <w:rsid w:val="00154506"/>
    <w:rsid w:val="00163AAD"/>
    <w:rsid w:val="00174532"/>
    <w:rsid w:val="001759DF"/>
    <w:rsid w:val="001802AD"/>
    <w:rsid w:val="00182697"/>
    <w:rsid w:val="001948E0"/>
    <w:rsid w:val="001B1C90"/>
    <w:rsid w:val="001B45C0"/>
    <w:rsid w:val="001C0EF6"/>
    <w:rsid w:val="001C2607"/>
    <w:rsid w:val="001D538A"/>
    <w:rsid w:val="001F2F9F"/>
    <w:rsid w:val="00201E09"/>
    <w:rsid w:val="002128CD"/>
    <w:rsid w:val="002241CB"/>
    <w:rsid w:val="00225548"/>
    <w:rsid w:val="00230670"/>
    <w:rsid w:val="00230E08"/>
    <w:rsid w:val="00233F6B"/>
    <w:rsid w:val="0023495C"/>
    <w:rsid w:val="0024184E"/>
    <w:rsid w:val="002453EB"/>
    <w:rsid w:val="002531A2"/>
    <w:rsid w:val="00257079"/>
    <w:rsid w:val="00260FB2"/>
    <w:rsid w:val="0026324D"/>
    <w:rsid w:val="00265382"/>
    <w:rsid w:val="00267B69"/>
    <w:rsid w:val="00273D65"/>
    <w:rsid w:val="002861BC"/>
    <w:rsid w:val="0029104C"/>
    <w:rsid w:val="00296EDF"/>
    <w:rsid w:val="002974C9"/>
    <w:rsid w:val="002A1B69"/>
    <w:rsid w:val="002A5A2D"/>
    <w:rsid w:val="002A70E0"/>
    <w:rsid w:val="002B4B4F"/>
    <w:rsid w:val="002C38D7"/>
    <w:rsid w:val="002C4D22"/>
    <w:rsid w:val="002D04EF"/>
    <w:rsid w:val="002D2049"/>
    <w:rsid w:val="002D2369"/>
    <w:rsid w:val="002D2D3A"/>
    <w:rsid w:val="002D4634"/>
    <w:rsid w:val="002E0A60"/>
    <w:rsid w:val="002E0CE7"/>
    <w:rsid w:val="002E58C1"/>
    <w:rsid w:val="002E75DF"/>
    <w:rsid w:val="002E7C57"/>
    <w:rsid w:val="002F3359"/>
    <w:rsid w:val="002F56E1"/>
    <w:rsid w:val="002F6B1E"/>
    <w:rsid w:val="003116A7"/>
    <w:rsid w:val="00312B3A"/>
    <w:rsid w:val="00320AA5"/>
    <w:rsid w:val="00326129"/>
    <w:rsid w:val="00327F52"/>
    <w:rsid w:val="00333386"/>
    <w:rsid w:val="00334386"/>
    <w:rsid w:val="00342453"/>
    <w:rsid w:val="00344213"/>
    <w:rsid w:val="00344F3A"/>
    <w:rsid w:val="00352185"/>
    <w:rsid w:val="003522A0"/>
    <w:rsid w:val="00354621"/>
    <w:rsid w:val="00355301"/>
    <w:rsid w:val="003563B2"/>
    <w:rsid w:val="00357027"/>
    <w:rsid w:val="003621A3"/>
    <w:rsid w:val="0036311C"/>
    <w:rsid w:val="00370875"/>
    <w:rsid w:val="00373A8A"/>
    <w:rsid w:val="00381104"/>
    <w:rsid w:val="00381460"/>
    <w:rsid w:val="0038635D"/>
    <w:rsid w:val="0038722A"/>
    <w:rsid w:val="0039210D"/>
    <w:rsid w:val="003A17E6"/>
    <w:rsid w:val="003A2049"/>
    <w:rsid w:val="003A6BD5"/>
    <w:rsid w:val="003A73B0"/>
    <w:rsid w:val="003B2028"/>
    <w:rsid w:val="003B21C2"/>
    <w:rsid w:val="003B63CE"/>
    <w:rsid w:val="003C29B8"/>
    <w:rsid w:val="003C3AC1"/>
    <w:rsid w:val="003C718C"/>
    <w:rsid w:val="003D2716"/>
    <w:rsid w:val="003D759F"/>
    <w:rsid w:val="003E20BE"/>
    <w:rsid w:val="003E4F70"/>
    <w:rsid w:val="00400ED9"/>
    <w:rsid w:val="0040702C"/>
    <w:rsid w:val="00407173"/>
    <w:rsid w:val="00407686"/>
    <w:rsid w:val="00410577"/>
    <w:rsid w:val="00410B27"/>
    <w:rsid w:val="0041121B"/>
    <w:rsid w:val="0041353D"/>
    <w:rsid w:val="00414D5E"/>
    <w:rsid w:val="00416F54"/>
    <w:rsid w:val="00420D53"/>
    <w:rsid w:val="00425D98"/>
    <w:rsid w:val="004260BB"/>
    <w:rsid w:val="00430C26"/>
    <w:rsid w:val="00431527"/>
    <w:rsid w:val="00437FC0"/>
    <w:rsid w:val="00443885"/>
    <w:rsid w:val="00445937"/>
    <w:rsid w:val="00445B83"/>
    <w:rsid w:val="00445C30"/>
    <w:rsid w:val="00454BBA"/>
    <w:rsid w:val="00456760"/>
    <w:rsid w:val="00457470"/>
    <w:rsid w:val="00463965"/>
    <w:rsid w:val="00470B78"/>
    <w:rsid w:val="00471911"/>
    <w:rsid w:val="00482A3D"/>
    <w:rsid w:val="004842AF"/>
    <w:rsid w:val="00486D42"/>
    <w:rsid w:val="0049165E"/>
    <w:rsid w:val="004A37AA"/>
    <w:rsid w:val="004A3C90"/>
    <w:rsid w:val="004B77BA"/>
    <w:rsid w:val="004C0644"/>
    <w:rsid w:val="004C3B42"/>
    <w:rsid w:val="004C4D09"/>
    <w:rsid w:val="004C720C"/>
    <w:rsid w:val="004D045C"/>
    <w:rsid w:val="004D0986"/>
    <w:rsid w:val="004D139C"/>
    <w:rsid w:val="004D6C90"/>
    <w:rsid w:val="004E2138"/>
    <w:rsid w:val="004E3399"/>
    <w:rsid w:val="004F18AC"/>
    <w:rsid w:val="00511B5B"/>
    <w:rsid w:val="00516345"/>
    <w:rsid w:val="0052466B"/>
    <w:rsid w:val="00524B01"/>
    <w:rsid w:val="005325DB"/>
    <w:rsid w:val="005364C1"/>
    <w:rsid w:val="005365FA"/>
    <w:rsid w:val="0054440D"/>
    <w:rsid w:val="0054738E"/>
    <w:rsid w:val="00552D35"/>
    <w:rsid w:val="00553B92"/>
    <w:rsid w:val="0055672B"/>
    <w:rsid w:val="00563499"/>
    <w:rsid w:val="005708C4"/>
    <w:rsid w:val="00574BCE"/>
    <w:rsid w:val="00574CE4"/>
    <w:rsid w:val="00576737"/>
    <w:rsid w:val="005806A3"/>
    <w:rsid w:val="00592B35"/>
    <w:rsid w:val="00597ECC"/>
    <w:rsid w:val="005A39B8"/>
    <w:rsid w:val="005A48A9"/>
    <w:rsid w:val="005A746A"/>
    <w:rsid w:val="005B0DD3"/>
    <w:rsid w:val="005B242E"/>
    <w:rsid w:val="005B58B1"/>
    <w:rsid w:val="005B664F"/>
    <w:rsid w:val="005B66E3"/>
    <w:rsid w:val="005B7059"/>
    <w:rsid w:val="005C7137"/>
    <w:rsid w:val="005D12EC"/>
    <w:rsid w:val="005D41DF"/>
    <w:rsid w:val="005D4F45"/>
    <w:rsid w:val="005D595C"/>
    <w:rsid w:val="005D7C38"/>
    <w:rsid w:val="005E0980"/>
    <w:rsid w:val="005E70C0"/>
    <w:rsid w:val="005F1D9A"/>
    <w:rsid w:val="005F3DD1"/>
    <w:rsid w:val="00601591"/>
    <w:rsid w:val="0060398E"/>
    <w:rsid w:val="00611121"/>
    <w:rsid w:val="00611D59"/>
    <w:rsid w:val="00613DF6"/>
    <w:rsid w:val="0061501F"/>
    <w:rsid w:val="00622FC5"/>
    <w:rsid w:val="006234A8"/>
    <w:rsid w:val="006247F2"/>
    <w:rsid w:val="00625B60"/>
    <w:rsid w:val="00626929"/>
    <w:rsid w:val="00630306"/>
    <w:rsid w:val="00632253"/>
    <w:rsid w:val="00642637"/>
    <w:rsid w:val="0064697B"/>
    <w:rsid w:val="00651023"/>
    <w:rsid w:val="00663448"/>
    <w:rsid w:val="006717C1"/>
    <w:rsid w:val="00675B14"/>
    <w:rsid w:val="00677E62"/>
    <w:rsid w:val="006838CB"/>
    <w:rsid w:val="006838F4"/>
    <w:rsid w:val="00685034"/>
    <w:rsid w:val="00692DD7"/>
    <w:rsid w:val="006A05F8"/>
    <w:rsid w:val="006A253C"/>
    <w:rsid w:val="006A7C96"/>
    <w:rsid w:val="006B30F2"/>
    <w:rsid w:val="006B4D5E"/>
    <w:rsid w:val="006B5AFF"/>
    <w:rsid w:val="006C096E"/>
    <w:rsid w:val="006C1509"/>
    <w:rsid w:val="006C1DF9"/>
    <w:rsid w:val="006C3DFD"/>
    <w:rsid w:val="006D1583"/>
    <w:rsid w:val="006D3531"/>
    <w:rsid w:val="006D6EBF"/>
    <w:rsid w:val="006E04F4"/>
    <w:rsid w:val="006E2348"/>
    <w:rsid w:val="006E37B1"/>
    <w:rsid w:val="006E3B49"/>
    <w:rsid w:val="006E50F9"/>
    <w:rsid w:val="006E700A"/>
    <w:rsid w:val="006F4AE8"/>
    <w:rsid w:val="006F7E7C"/>
    <w:rsid w:val="007000F5"/>
    <w:rsid w:val="007038CC"/>
    <w:rsid w:val="007239D6"/>
    <w:rsid w:val="0072425E"/>
    <w:rsid w:val="007254C3"/>
    <w:rsid w:val="0072573A"/>
    <w:rsid w:val="00725DD9"/>
    <w:rsid w:val="0073257F"/>
    <w:rsid w:val="00733D54"/>
    <w:rsid w:val="007400D3"/>
    <w:rsid w:val="0074032D"/>
    <w:rsid w:val="00744AD3"/>
    <w:rsid w:val="00751B71"/>
    <w:rsid w:val="0077085D"/>
    <w:rsid w:val="00772162"/>
    <w:rsid w:val="00775AAB"/>
    <w:rsid w:val="00776AA8"/>
    <w:rsid w:val="007779E9"/>
    <w:rsid w:val="00777CE9"/>
    <w:rsid w:val="00781EA4"/>
    <w:rsid w:val="00783C4A"/>
    <w:rsid w:val="0078458C"/>
    <w:rsid w:val="00785859"/>
    <w:rsid w:val="0078795A"/>
    <w:rsid w:val="0079103D"/>
    <w:rsid w:val="007971CA"/>
    <w:rsid w:val="007A0694"/>
    <w:rsid w:val="007A474F"/>
    <w:rsid w:val="007A48E2"/>
    <w:rsid w:val="007A5921"/>
    <w:rsid w:val="007B3C3A"/>
    <w:rsid w:val="007B5407"/>
    <w:rsid w:val="007B5A21"/>
    <w:rsid w:val="007D41C6"/>
    <w:rsid w:val="007D528B"/>
    <w:rsid w:val="007D6704"/>
    <w:rsid w:val="007E420F"/>
    <w:rsid w:val="007F01A5"/>
    <w:rsid w:val="007F47A3"/>
    <w:rsid w:val="007F6C54"/>
    <w:rsid w:val="007F791D"/>
    <w:rsid w:val="008011B3"/>
    <w:rsid w:val="0080539D"/>
    <w:rsid w:val="0080644E"/>
    <w:rsid w:val="00806735"/>
    <w:rsid w:val="00812C3D"/>
    <w:rsid w:val="00813EE4"/>
    <w:rsid w:val="00826316"/>
    <w:rsid w:val="008313E6"/>
    <w:rsid w:val="00831D2C"/>
    <w:rsid w:val="0083356D"/>
    <w:rsid w:val="00846B93"/>
    <w:rsid w:val="00854A8B"/>
    <w:rsid w:val="00860987"/>
    <w:rsid w:val="0086675D"/>
    <w:rsid w:val="00870914"/>
    <w:rsid w:val="00870BBA"/>
    <w:rsid w:val="00871D27"/>
    <w:rsid w:val="00871D4D"/>
    <w:rsid w:val="00871FE3"/>
    <w:rsid w:val="00884DFC"/>
    <w:rsid w:val="00886C76"/>
    <w:rsid w:val="00895ABF"/>
    <w:rsid w:val="008A6230"/>
    <w:rsid w:val="008B2186"/>
    <w:rsid w:val="008B2F6B"/>
    <w:rsid w:val="008B5D0C"/>
    <w:rsid w:val="008C29F4"/>
    <w:rsid w:val="008C313C"/>
    <w:rsid w:val="008C4293"/>
    <w:rsid w:val="008C5267"/>
    <w:rsid w:val="008C7004"/>
    <w:rsid w:val="008D0AC5"/>
    <w:rsid w:val="008E0B49"/>
    <w:rsid w:val="008F230E"/>
    <w:rsid w:val="008F380D"/>
    <w:rsid w:val="008F582F"/>
    <w:rsid w:val="008F6CDC"/>
    <w:rsid w:val="00901E66"/>
    <w:rsid w:val="0091227D"/>
    <w:rsid w:val="0091382E"/>
    <w:rsid w:val="00924655"/>
    <w:rsid w:val="00925CC2"/>
    <w:rsid w:val="00930BB9"/>
    <w:rsid w:val="0093227B"/>
    <w:rsid w:val="00934A58"/>
    <w:rsid w:val="00944B86"/>
    <w:rsid w:val="00946A44"/>
    <w:rsid w:val="009505A6"/>
    <w:rsid w:val="00955168"/>
    <w:rsid w:val="0095647E"/>
    <w:rsid w:val="00964B74"/>
    <w:rsid w:val="00971AF4"/>
    <w:rsid w:val="00972EEA"/>
    <w:rsid w:val="00980179"/>
    <w:rsid w:val="00987DEF"/>
    <w:rsid w:val="00990CDD"/>
    <w:rsid w:val="009A1AC4"/>
    <w:rsid w:val="009A653E"/>
    <w:rsid w:val="009A6612"/>
    <w:rsid w:val="009A731C"/>
    <w:rsid w:val="009B285B"/>
    <w:rsid w:val="009B61F0"/>
    <w:rsid w:val="009C7048"/>
    <w:rsid w:val="009E029F"/>
    <w:rsid w:val="009E108F"/>
    <w:rsid w:val="009E1BA9"/>
    <w:rsid w:val="009F1281"/>
    <w:rsid w:val="009F580E"/>
    <w:rsid w:val="00A01F43"/>
    <w:rsid w:val="00A025CB"/>
    <w:rsid w:val="00A037E1"/>
    <w:rsid w:val="00A163B0"/>
    <w:rsid w:val="00A17102"/>
    <w:rsid w:val="00A17240"/>
    <w:rsid w:val="00A20BEB"/>
    <w:rsid w:val="00A21B87"/>
    <w:rsid w:val="00A2216D"/>
    <w:rsid w:val="00A22B97"/>
    <w:rsid w:val="00A25DBA"/>
    <w:rsid w:val="00A27C4D"/>
    <w:rsid w:val="00A36ADB"/>
    <w:rsid w:val="00A424D3"/>
    <w:rsid w:val="00A45177"/>
    <w:rsid w:val="00A51AF0"/>
    <w:rsid w:val="00A54B35"/>
    <w:rsid w:val="00A61D25"/>
    <w:rsid w:val="00A64255"/>
    <w:rsid w:val="00A676B5"/>
    <w:rsid w:val="00A70336"/>
    <w:rsid w:val="00A906CA"/>
    <w:rsid w:val="00A957C5"/>
    <w:rsid w:val="00A95A70"/>
    <w:rsid w:val="00A975F9"/>
    <w:rsid w:val="00AA2064"/>
    <w:rsid w:val="00AA3B75"/>
    <w:rsid w:val="00AA6689"/>
    <w:rsid w:val="00AA6D0B"/>
    <w:rsid w:val="00AB372F"/>
    <w:rsid w:val="00AB3EFD"/>
    <w:rsid w:val="00AC2293"/>
    <w:rsid w:val="00AC29AC"/>
    <w:rsid w:val="00AC5351"/>
    <w:rsid w:val="00AD6846"/>
    <w:rsid w:val="00AE235D"/>
    <w:rsid w:val="00AE274B"/>
    <w:rsid w:val="00AE488C"/>
    <w:rsid w:val="00AE4E61"/>
    <w:rsid w:val="00AF2503"/>
    <w:rsid w:val="00AF3495"/>
    <w:rsid w:val="00AF7907"/>
    <w:rsid w:val="00B054AA"/>
    <w:rsid w:val="00B13030"/>
    <w:rsid w:val="00B14523"/>
    <w:rsid w:val="00B15D65"/>
    <w:rsid w:val="00B16A85"/>
    <w:rsid w:val="00B17EA9"/>
    <w:rsid w:val="00B21E19"/>
    <w:rsid w:val="00B21F81"/>
    <w:rsid w:val="00B23615"/>
    <w:rsid w:val="00B3055C"/>
    <w:rsid w:val="00B33E6E"/>
    <w:rsid w:val="00B35C96"/>
    <w:rsid w:val="00B37E91"/>
    <w:rsid w:val="00B40B96"/>
    <w:rsid w:val="00B414C9"/>
    <w:rsid w:val="00B42BE3"/>
    <w:rsid w:val="00B459D9"/>
    <w:rsid w:val="00B63FAE"/>
    <w:rsid w:val="00B640B8"/>
    <w:rsid w:val="00B64175"/>
    <w:rsid w:val="00B65818"/>
    <w:rsid w:val="00B71F3D"/>
    <w:rsid w:val="00B761BC"/>
    <w:rsid w:val="00B80F1A"/>
    <w:rsid w:val="00B80F21"/>
    <w:rsid w:val="00B939D7"/>
    <w:rsid w:val="00B9751C"/>
    <w:rsid w:val="00BA3B02"/>
    <w:rsid w:val="00BA61C4"/>
    <w:rsid w:val="00BB3832"/>
    <w:rsid w:val="00BB4CE4"/>
    <w:rsid w:val="00BB5B31"/>
    <w:rsid w:val="00BB64B3"/>
    <w:rsid w:val="00BB77C9"/>
    <w:rsid w:val="00BC0C74"/>
    <w:rsid w:val="00BC4C77"/>
    <w:rsid w:val="00BC6A8E"/>
    <w:rsid w:val="00BD3F80"/>
    <w:rsid w:val="00BD4514"/>
    <w:rsid w:val="00BD51F4"/>
    <w:rsid w:val="00BD5DF0"/>
    <w:rsid w:val="00BD6E06"/>
    <w:rsid w:val="00BE160F"/>
    <w:rsid w:val="00BE3A00"/>
    <w:rsid w:val="00BF3ED7"/>
    <w:rsid w:val="00BF4EC6"/>
    <w:rsid w:val="00BF5ADA"/>
    <w:rsid w:val="00C02036"/>
    <w:rsid w:val="00C13798"/>
    <w:rsid w:val="00C27C4C"/>
    <w:rsid w:val="00C341E5"/>
    <w:rsid w:val="00C35313"/>
    <w:rsid w:val="00C361CE"/>
    <w:rsid w:val="00C36BBC"/>
    <w:rsid w:val="00C50F51"/>
    <w:rsid w:val="00C555F8"/>
    <w:rsid w:val="00C61D3A"/>
    <w:rsid w:val="00C62F94"/>
    <w:rsid w:val="00C64985"/>
    <w:rsid w:val="00C64D41"/>
    <w:rsid w:val="00C655B5"/>
    <w:rsid w:val="00C67DEA"/>
    <w:rsid w:val="00C72629"/>
    <w:rsid w:val="00C77727"/>
    <w:rsid w:val="00C80A43"/>
    <w:rsid w:val="00C83276"/>
    <w:rsid w:val="00C834E8"/>
    <w:rsid w:val="00C9485F"/>
    <w:rsid w:val="00C96F55"/>
    <w:rsid w:val="00C9723A"/>
    <w:rsid w:val="00CA033A"/>
    <w:rsid w:val="00CA2833"/>
    <w:rsid w:val="00CA3815"/>
    <w:rsid w:val="00CA3A8F"/>
    <w:rsid w:val="00CB0560"/>
    <w:rsid w:val="00CB0591"/>
    <w:rsid w:val="00CB1D8C"/>
    <w:rsid w:val="00CB43FE"/>
    <w:rsid w:val="00CB45BA"/>
    <w:rsid w:val="00CE54A0"/>
    <w:rsid w:val="00CF070C"/>
    <w:rsid w:val="00CF50F2"/>
    <w:rsid w:val="00CF6AFA"/>
    <w:rsid w:val="00CF7440"/>
    <w:rsid w:val="00D03879"/>
    <w:rsid w:val="00D04492"/>
    <w:rsid w:val="00D0548D"/>
    <w:rsid w:val="00D1304D"/>
    <w:rsid w:val="00D13D38"/>
    <w:rsid w:val="00D15DB8"/>
    <w:rsid w:val="00D1701A"/>
    <w:rsid w:val="00D23270"/>
    <w:rsid w:val="00D36E1A"/>
    <w:rsid w:val="00D42513"/>
    <w:rsid w:val="00D60E65"/>
    <w:rsid w:val="00D61C4C"/>
    <w:rsid w:val="00D63D77"/>
    <w:rsid w:val="00D664A2"/>
    <w:rsid w:val="00D67374"/>
    <w:rsid w:val="00D677A4"/>
    <w:rsid w:val="00D70D4F"/>
    <w:rsid w:val="00D772C4"/>
    <w:rsid w:val="00D80F1F"/>
    <w:rsid w:val="00D8106B"/>
    <w:rsid w:val="00D86C4D"/>
    <w:rsid w:val="00D90819"/>
    <w:rsid w:val="00D93B93"/>
    <w:rsid w:val="00D977C4"/>
    <w:rsid w:val="00DA0747"/>
    <w:rsid w:val="00DA157C"/>
    <w:rsid w:val="00DB2ED3"/>
    <w:rsid w:val="00DB4ABA"/>
    <w:rsid w:val="00DB6167"/>
    <w:rsid w:val="00DB695F"/>
    <w:rsid w:val="00DB7837"/>
    <w:rsid w:val="00DC5F07"/>
    <w:rsid w:val="00DC6BD7"/>
    <w:rsid w:val="00DE29BA"/>
    <w:rsid w:val="00DE7325"/>
    <w:rsid w:val="00DF2620"/>
    <w:rsid w:val="00E10588"/>
    <w:rsid w:val="00E1197A"/>
    <w:rsid w:val="00E11F32"/>
    <w:rsid w:val="00E1689B"/>
    <w:rsid w:val="00E24E45"/>
    <w:rsid w:val="00E330B5"/>
    <w:rsid w:val="00E33201"/>
    <w:rsid w:val="00E35539"/>
    <w:rsid w:val="00E35A0E"/>
    <w:rsid w:val="00E37D8F"/>
    <w:rsid w:val="00E4543A"/>
    <w:rsid w:val="00E470BC"/>
    <w:rsid w:val="00E534D3"/>
    <w:rsid w:val="00E536E5"/>
    <w:rsid w:val="00E551AD"/>
    <w:rsid w:val="00E575EF"/>
    <w:rsid w:val="00E66328"/>
    <w:rsid w:val="00E70F6B"/>
    <w:rsid w:val="00E75152"/>
    <w:rsid w:val="00E7759F"/>
    <w:rsid w:val="00E814E8"/>
    <w:rsid w:val="00E867C7"/>
    <w:rsid w:val="00E90949"/>
    <w:rsid w:val="00E9655A"/>
    <w:rsid w:val="00EA79BF"/>
    <w:rsid w:val="00EA7EA0"/>
    <w:rsid w:val="00EB3245"/>
    <w:rsid w:val="00EB400E"/>
    <w:rsid w:val="00EC00C0"/>
    <w:rsid w:val="00EC0FA2"/>
    <w:rsid w:val="00EC18EE"/>
    <w:rsid w:val="00EC3DDB"/>
    <w:rsid w:val="00EC4DDD"/>
    <w:rsid w:val="00EE230F"/>
    <w:rsid w:val="00EE46CA"/>
    <w:rsid w:val="00EF63F8"/>
    <w:rsid w:val="00F010CA"/>
    <w:rsid w:val="00F04E6F"/>
    <w:rsid w:val="00F054C7"/>
    <w:rsid w:val="00F20418"/>
    <w:rsid w:val="00F25739"/>
    <w:rsid w:val="00F25D68"/>
    <w:rsid w:val="00F34367"/>
    <w:rsid w:val="00F3527A"/>
    <w:rsid w:val="00F45524"/>
    <w:rsid w:val="00F47A6D"/>
    <w:rsid w:val="00F50349"/>
    <w:rsid w:val="00F54275"/>
    <w:rsid w:val="00F76632"/>
    <w:rsid w:val="00F81678"/>
    <w:rsid w:val="00F8286A"/>
    <w:rsid w:val="00F84CEC"/>
    <w:rsid w:val="00F91D35"/>
    <w:rsid w:val="00F93C13"/>
    <w:rsid w:val="00FA24E5"/>
    <w:rsid w:val="00FB606B"/>
    <w:rsid w:val="00FB6D4D"/>
    <w:rsid w:val="00FC6DF9"/>
    <w:rsid w:val="00FE3453"/>
    <w:rsid w:val="00FF7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0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811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E2DC9"/>
    <w:pPr>
      <w:keepNext/>
      <w:keepLines/>
      <w:numPr>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1363F"/>
    <w:pPr>
      <w:keepNext/>
      <w:keepLines/>
      <w:numPr>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522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38110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81104"/>
    <w:rPr>
      <w:rFonts w:ascii="Calibri" w:hAnsi="Calibri"/>
      <w:szCs w:val="21"/>
    </w:rPr>
  </w:style>
  <w:style w:type="character" w:customStyle="1" w:styleId="Nagwek2Znak">
    <w:name w:val="Nagłówek 2 Znak"/>
    <w:basedOn w:val="Domylnaczcionkaakapitu"/>
    <w:link w:val="Nagwek2"/>
    <w:uiPriority w:val="9"/>
    <w:rsid w:val="000E2DC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01363F"/>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381104"/>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3811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1104"/>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381104"/>
    <w:pPr>
      <w:ind w:left="720"/>
      <w:contextualSpacing/>
    </w:pPr>
  </w:style>
  <w:style w:type="paragraph" w:styleId="NormalnyWeb">
    <w:name w:val="Normal (Web)"/>
    <w:basedOn w:val="Normalny"/>
    <w:uiPriority w:val="99"/>
    <w:semiHidden/>
    <w:unhideWhenUsed/>
    <w:rsid w:val="00A1724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a-Siatka">
    <w:name w:val="Table Grid"/>
    <w:basedOn w:val="Standardowy"/>
    <w:uiPriority w:val="39"/>
    <w:rsid w:val="00E3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332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33201"/>
    <w:rPr>
      <w:sz w:val="20"/>
      <w:szCs w:val="20"/>
    </w:rPr>
  </w:style>
  <w:style w:type="character" w:styleId="Odwoanieprzypisudolnego">
    <w:name w:val="footnote reference"/>
    <w:basedOn w:val="Domylnaczcionkaakapitu"/>
    <w:uiPriority w:val="99"/>
    <w:unhideWhenUsed/>
    <w:rsid w:val="00E33201"/>
    <w:rPr>
      <w:vertAlign w:val="superscript"/>
    </w:rPr>
  </w:style>
  <w:style w:type="character" w:styleId="Odwoaniedokomentarza">
    <w:name w:val="annotation reference"/>
    <w:basedOn w:val="Domylnaczcionkaakapitu"/>
    <w:uiPriority w:val="99"/>
    <w:semiHidden/>
    <w:unhideWhenUsed/>
    <w:rsid w:val="006A05F8"/>
    <w:rPr>
      <w:sz w:val="16"/>
      <w:szCs w:val="16"/>
    </w:rPr>
  </w:style>
  <w:style w:type="paragraph" w:styleId="Tekstkomentarza">
    <w:name w:val="annotation text"/>
    <w:basedOn w:val="Normalny"/>
    <w:link w:val="TekstkomentarzaZnak"/>
    <w:uiPriority w:val="99"/>
    <w:semiHidden/>
    <w:unhideWhenUsed/>
    <w:rsid w:val="006A05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05F8"/>
    <w:rPr>
      <w:sz w:val="20"/>
      <w:szCs w:val="20"/>
    </w:rPr>
  </w:style>
  <w:style w:type="paragraph" w:styleId="Tematkomentarza">
    <w:name w:val="annotation subject"/>
    <w:basedOn w:val="Tekstkomentarza"/>
    <w:next w:val="Tekstkomentarza"/>
    <w:link w:val="TematkomentarzaZnak"/>
    <w:uiPriority w:val="99"/>
    <w:semiHidden/>
    <w:unhideWhenUsed/>
    <w:rsid w:val="006A05F8"/>
    <w:rPr>
      <w:b/>
      <w:bCs/>
    </w:rPr>
  </w:style>
  <w:style w:type="character" w:customStyle="1" w:styleId="TematkomentarzaZnak">
    <w:name w:val="Temat komentarza Znak"/>
    <w:basedOn w:val="TekstkomentarzaZnak"/>
    <w:link w:val="Tematkomentarza"/>
    <w:uiPriority w:val="99"/>
    <w:semiHidden/>
    <w:rsid w:val="006A05F8"/>
    <w:rPr>
      <w:b/>
      <w:bCs/>
      <w:sz w:val="20"/>
      <w:szCs w:val="20"/>
    </w:rPr>
  </w:style>
  <w:style w:type="paragraph" w:styleId="Tekstdymka">
    <w:name w:val="Balloon Text"/>
    <w:basedOn w:val="Normalny"/>
    <w:link w:val="TekstdymkaZnak"/>
    <w:uiPriority w:val="99"/>
    <w:semiHidden/>
    <w:unhideWhenUsed/>
    <w:rsid w:val="006A05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05F8"/>
    <w:rPr>
      <w:rFonts w:ascii="Segoe UI" w:hAnsi="Segoe UI" w:cs="Segoe UI"/>
      <w:sz w:val="18"/>
      <w:szCs w:val="18"/>
    </w:rPr>
  </w:style>
  <w:style w:type="paragraph" w:styleId="Tekstpodstawowy">
    <w:name w:val="Body Text"/>
    <w:basedOn w:val="Normalny"/>
    <w:link w:val="TekstpodstawowyZnak"/>
    <w:uiPriority w:val="1"/>
    <w:qFormat/>
    <w:rsid w:val="00482A3D"/>
    <w:pPr>
      <w:widowControl w:val="0"/>
      <w:autoSpaceDE w:val="0"/>
      <w:autoSpaceDN w:val="0"/>
      <w:spacing w:after="0" w:line="240" w:lineRule="auto"/>
    </w:pPr>
    <w:rPr>
      <w:rFonts w:ascii="Calibri" w:eastAsia="Calibri" w:hAnsi="Calibri" w:cs="Calibri"/>
      <w:sz w:val="20"/>
      <w:szCs w:val="20"/>
      <w:lang w:val="en-US"/>
    </w:rPr>
  </w:style>
  <w:style w:type="character" w:customStyle="1" w:styleId="TekstpodstawowyZnak">
    <w:name w:val="Tekst podstawowy Znak"/>
    <w:basedOn w:val="Domylnaczcionkaakapitu"/>
    <w:link w:val="Tekstpodstawowy"/>
    <w:uiPriority w:val="1"/>
    <w:rsid w:val="00482A3D"/>
    <w:rPr>
      <w:rFonts w:ascii="Calibri" w:eastAsia="Calibri" w:hAnsi="Calibri" w:cs="Calibri"/>
      <w:sz w:val="20"/>
      <w:szCs w:val="20"/>
      <w:lang w:val="en-US"/>
    </w:rPr>
  </w:style>
  <w:style w:type="character" w:styleId="Hipercze">
    <w:name w:val="Hyperlink"/>
    <w:basedOn w:val="Domylnaczcionkaakapitu"/>
    <w:uiPriority w:val="99"/>
    <w:unhideWhenUsed/>
    <w:rsid w:val="00C35313"/>
    <w:rPr>
      <w:color w:val="0563C1" w:themeColor="hyperlink"/>
      <w:u w:val="single"/>
    </w:rPr>
  </w:style>
  <w:style w:type="character" w:customStyle="1" w:styleId="UnresolvedMention1">
    <w:name w:val="Unresolved Mention1"/>
    <w:basedOn w:val="Domylnaczcionkaakapitu"/>
    <w:uiPriority w:val="99"/>
    <w:semiHidden/>
    <w:unhideWhenUsed/>
    <w:rsid w:val="00C35313"/>
    <w:rPr>
      <w:color w:val="808080"/>
      <w:shd w:val="clear" w:color="auto" w:fill="E6E6E6"/>
    </w:rPr>
  </w:style>
  <w:style w:type="paragraph" w:styleId="Cytat">
    <w:name w:val="Quote"/>
    <w:basedOn w:val="Normalny"/>
    <w:next w:val="Normalny"/>
    <w:link w:val="CytatZnak"/>
    <w:uiPriority w:val="29"/>
    <w:qFormat/>
    <w:rsid w:val="00B17EA9"/>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B17EA9"/>
    <w:rPr>
      <w:i/>
      <w:iCs/>
      <w:color w:val="404040" w:themeColor="text1" w:themeTint="BF"/>
    </w:rPr>
  </w:style>
  <w:style w:type="paragraph" w:styleId="Podtytu">
    <w:name w:val="Subtitle"/>
    <w:basedOn w:val="Normalny"/>
    <w:next w:val="Normalny"/>
    <w:link w:val="PodtytuZnak"/>
    <w:uiPriority w:val="11"/>
    <w:qFormat/>
    <w:rsid w:val="00A676B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676B5"/>
    <w:rPr>
      <w:rFonts w:eastAsiaTheme="minorEastAsia"/>
      <w:color w:val="5A5A5A" w:themeColor="text1" w:themeTint="A5"/>
      <w:spacing w:val="15"/>
    </w:rPr>
  </w:style>
  <w:style w:type="paragraph" w:styleId="Nagwekspisutreci">
    <w:name w:val="TOC Heading"/>
    <w:basedOn w:val="Nagwek1"/>
    <w:next w:val="Normalny"/>
    <w:uiPriority w:val="39"/>
    <w:unhideWhenUsed/>
    <w:qFormat/>
    <w:rsid w:val="00431527"/>
    <w:pPr>
      <w:outlineLvl w:val="9"/>
    </w:pPr>
    <w:rPr>
      <w:lang w:val="en-US"/>
    </w:rPr>
  </w:style>
  <w:style w:type="paragraph" w:styleId="Spistreci2">
    <w:name w:val="toc 2"/>
    <w:basedOn w:val="Normalny"/>
    <w:next w:val="Normalny"/>
    <w:autoRedefine/>
    <w:uiPriority w:val="39"/>
    <w:unhideWhenUsed/>
    <w:rsid w:val="00B3055C"/>
    <w:pPr>
      <w:tabs>
        <w:tab w:val="right" w:leader="dot" w:pos="9016"/>
      </w:tabs>
      <w:spacing w:after="100"/>
      <w:ind w:left="220"/>
    </w:pPr>
  </w:style>
  <w:style w:type="paragraph" w:styleId="Spistreci3">
    <w:name w:val="toc 3"/>
    <w:basedOn w:val="Normalny"/>
    <w:next w:val="Normalny"/>
    <w:autoRedefine/>
    <w:uiPriority w:val="39"/>
    <w:unhideWhenUsed/>
    <w:rsid w:val="00431527"/>
    <w:pPr>
      <w:spacing w:after="100"/>
      <w:ind w:left="440"/>
    </w:pPr>
  </w:style>
  <w:style w:type="character" w:customStyle="1" w:styleId="Nagwek4Znak">
    <w:name w:val="Nagłówek 4 Znak"/>
    <w:basedOn w:val="Domylnaczcionkaakapitu"/>
    <w:link w:val="Nagwek4"/>
    <w:uiPriority w:val="9"/>
    <w:rsid w:val="003522A0"/>
    <w:rPr>
      <w:rFonts w:asciiTheme="majorHAnsi" w:eastAsiaTheme="majorEastAsia" w:hAnsiTheme="majorHAnsi" w:cstheme="majorBidi"/>
      <w:i/>
      <w:iCs/>
      <w:color w:val="2F5496" w:themeColor="accent1" w:themeShade="BF"/>
    </w:rPr>
  </w:style>
  <w:style w:type="paragraph" w:styleId="Legenda">
    <w:name w:val="caption"/>
    <w:basedOn w:val="Normalny"/>
    <w:next w:val="Normalny"/>
    <w:uiPriority w:val="35"/>
    <w:unhideWhenUsed/>
    <w:qFormat/>
    <w:rsid w:val="00230E08"/>
    <w:pPr>
      <w:spacing w:after="200" w:line="240" w:lineRule="auto"/>
    </w:pPr>
    <w:rPr>
      <w:i/>
      <w:iCs/>
      <w:color w:val="44546A" w:themeColor="text2"/>
      <w:sz w:val="18"/>
      <w:szCs w:val="18"/>
    </w:rPr>
  </w:style>
  <w:style w:type="character" w:customStyle="1" w:styleId="apple-tab-span">
    <w:name w:val="apple-tab-span"/>
    <w:basedOn w:val="Domylnaczcionkaakapitu"/>
    <w:rsid w:val="00312B3A"/>
  </w:style>
  <w:style w:type="character" w:styleId="Uwydatnienie">
    <w:name w:val="Emphasis"/>
    <w:basedOn w:val="Domylnaczcionkaakapitu"/>
    <w:uiPriority w:val="20"/>
    <w:qFormat/>
    <w:rsid w:val="0077085D"/>
    <w:rPr>
      <w:i/>
      <w:iCs/>
    </w:rPr>
  </w:style>
  <w:style w:type="paragraph" w:customStyle="1" w:styleId="m388855718709900030xmsonormal">
    <w:name w:val="m_388855718709900030x_msonormal"/>
    <w:basedOn w:val="Normalny"/>
    <w:rsid w:val="006717C1"/>
    <w:pPr>
      <w:spacing w:before="100" w:beforeAutospacing="1" w:after="100" w:afterAutospacing="1" w:line="240" w:lineRule="auto"/>
    </w:pPr>
    <w:rPr>
      <w:rFonts w:ascii="Calibri" w:hAnsi="Calibri" w:cs="Times New Roman"/>
      <w:lang w:eastAsia="en-GB"/>
    </w:rPr>
  </w:style>
  <w:style w:type="paragraph" w:customStyle="1" w:styleId="m388855718709900030xmsolistparagraph">
    <w:name w:val="m_388855718709900030x_msolistparagraph"/>
    <w:basedOn w:val="Normalny"/>
    <w:rsid w:val="006717C1"/>
    <w:pPr>
      <w:spacing w:before="100" w:beforeAutospacing="1" w:after="100" w:afterAutospacing="1" w:line="240" w:lineRule="auto"/>
    </w:pPr>
    <w:rPr>
      <w:rFonts w:ascii="Calibri" w:hAnsi="Calibri" w:cs="Times New Roman"/>
      <w:lang w:eastAsia="en-GB"/>
    </w:rPr>
  </w:style>
  <w:style w:type="paragraph" w:customStyle="1" w:styleId="m5639379716884209249msocaption">
    <w:name w:val="m_5639379716884209249msocaption"/>
    <w:basedOn w:val="Normalny"/>
    <w:rsid w:val="00EA7EA0"/>
    <w:pPr>
      <w:spacing w:before="100" w:beforeAutospacing="1" w:after="100" w:afterAutospacing="1" w:line="240" w:lineRule="auto"/>
    </w:pPr>
    <w:rPr>
      <w:rFonts w:ascii="Calibri" w:hAnsi="Calibri" w:cs="Times New Roman"/>
      <w:lang w:eastAsia="en-GB"/>
    </w:rPr>
  </w:style>
  <w:style w:type="paragraph" w:customStyle="1" w:styleId="m5639379716884209249text2">
    <w:name w:val="m_5639379716884209249text2"/>
    <w:basedOn w:val="Normalny"/>
    <w:rsid w:val="00EA7EA0"/>
    <w:pPr>
      <w:spacing w:before="100" w:beforeAutospacing="1" w:after="100" w:afterAutospacing="1" w:line="240" w:lineRule="auto"/>
    </w:pPr>
    <w:rPr>
      <w:rFonts w:ascii="Calibri" w:hAnsi="Calibri" w:cs="Times New Roman"/>
      <w:lang w:eastAsia="en-GB"/>
    </w:rPr>
  </w:style>
  <w:style w:type="character" w:customStyle="1" w:styleId="m5639379716884209249msofootnotereference">
    <w:name w:val="m_5639379716884209249msofootnotereference"/>
    <w:basedOn w:val="Domylnaczcionkaakapitu"/>
    <w:rsid w:val="00EA7EA0"/>
  </w:style>
  <w:style w:type="character" w:styleId="UyteHipercze">
    <w:name w:val="FollowedHyperlink"/>
    <w:basedOn w:val="Domylnaczcionkaakapitu"/>
    <w:uiPriority w:val="99"/>
    <w:semiHidden/>
    <w:unhideWhenUsed/>
    <w:rsid w:val="00A2216D"/>
    <w:rPr>
      <w:color w:val="954F72" w:themeColor="followedHyperlink"/>
      <w:u w:val="single"/>
    </w:rPr>
  </w:style>
  <w:style w:type="paragraph" w:styleId="Nagwek">
    <w:name w:val="header"/>
    <w:basedOn w:val="Normalny"/>
    <w:link w:val="NagwekZnak"/>
    <w:uiPriority w:val="99"/>
    <w:unhideWhenUsed/>
    <w:rsid w:val="00001E8E"/>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62F94"/>
  </w:style>
  <w:style w:type="paragraph" w:styleId="Stopka">
    <w:name w:val="footer"/>
    <w:basedOn w:val="Normalny"/>
    <w:link w:val="StopkaZnak"/>
    <w:uiPriority w:val="99"/>
    <w:unhideWhenUsed/>
    <w:rsid w:val="00001E8E"/>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62F94"/>
  </w:style>
  <w:style w:type="paragraph" w:styleId="Poprawka">
    <w:name w:val="Revision"/>
    <w:hidden/>
    <w:uiPriority w:val="99"/>
    <w:semiHidden/>
    <w:rsid w:val="00524B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3811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E2DC9"/>
    <w:pPr>
      <w:keepNext/>
      <w:keepLines/>
      <w:numPr>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01363F"/>
    <w:pPr>
      <w:keepNext/>
      <w:keepLines/>
      <w:numPr>
        <w:numId w:val="1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3522A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wykytekst">
    <w:name w:val="Plain Text"/>
    <w:basedOn w:val="Normalny"/>
    <w:link w:val="ZwykytekstZnak"/>
    <w:uiPriority w:val="99"/>
    <w:unhideWhenUsed/>
    <w:rsid w:val="00381104"/>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81104"/>
    <w:rPr>
      <w:rFonts w:ascii="Calibri" w:hAnsi="Calibri"/>
      <w:szCs w:val="21"/>
    </w:rPr>
  </w:style>
  <w:style w:type="character" w:customStyle="1" w:styleId="Nagwek2Znak">
    <w:name w:val="Nagłówek 2 Znak"/>
    <w:basedOn w:val="Domylnaczcionkaakapitu"/>
    <w:link w:val="Nagwek2"/>
    <w:uiPriority w:val="9"/>
    <w:rsid w:val="000E2DC9"/>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01363F"/>
    <w:rPr>
      <w:rFonts w:asciiTheme="majorHAnsi" w:eastAsiaTheme="majorEastAsia" w:hAnsiTheme="majorHAnsi" w:cstheme="majorBidi"/>
      <w:color w:val="1F3763" w:themeColor="accent1" w:themeShade="7F"/>
      <w:sz w:val="24"/>
      <w:szCs w:val="24"/>
    </w:rPr>
  </w:style>
  <w:style w:type="character" w:customStyle="1" w:styleId="Nagwek1Znak">
    <w:name w:val="Nagłówek 1 Znak"/>
    <w:basedOn w:val="Domylnaczcionkaakapitu"/>
    <w:link w:val="Nagwek1"/>
    <w:uiPriority w:val="9"/>
    <w:rsid w:val="00381104"/>
    <w:rPr>
      <w:rFonts w:asciiTheme="majorHAnsi" w:eastAsiaTheme="majorEastAsia" w:hAnsiTheme="majorHAnsi" w:cstheme="majorBidi"/>
      <w:color w:val="2F5496" w:themeColor="accent1" w:themeShade="BF"/>
      <w:sz w:val="32"/>
      <w:szCs w:val="32"/>
    </w:rPr>
  </w:style>
  <w:style w:type="paragraph" w:styleId="Tytu">
    <w:name w:val="Title"/>
    <w:basedOn w:val="Normalny"/>
    <w:next w:val="Normalny"/>
    <w:link w:val="TytuZnak"/>
    <w:uiPriority w:val="10"/>
    <w:qFormat/>
    <w:rsid w:val="003811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381104"/>
    <w:rPr>
      <w:rFonts w:asciiTheme="majorHAnsi" w:eastAsiaTheme="majorEastAsia" w:hAnsiTheme="majorHAnsi" w:cstheme="majorBidi"/>
      <w:spacing w:val="-10"/>
      <w:kern w:val="28"/>
      <w:sz w:val="56"/>
      <w:szCs w:val="56"/>
    </w:rPr>
  </w:style>
  <w:style w:type="paragraph" w:styleId="Akapitzlist">
    <w:name w:val="List Paragraph"/>
    <w:basedOn w:val="Normalny"/>
    <w:uiPriority w:val="34"/>
    <w:qFormat/>
    <w:rsid w:val="00381104"/>
    <w:pPr>
      <w:ind w:left="720"/>
      <w:contextualSpacing/>
    </w:pPr>
  </w:style>
  <w:style w:type="paragraph" w:styleId="NormalnyWeb">
    <w:name w:val="Normal (Web)"/>
    <w:basedOn w:val="Normalny"/>
    <w:uiPriority w:val="99"/>
    <w:semiHidden/>
    <w:unhideWhenUsed/>
    <w:rsid w:val="00A17240"/>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ela-Siatka">
    <w:name w:val="Table Grid"/>
    <w:basedOn w:val="Standardowy"/>
    <w:uiPriority w:val="39"/>
    <w:rsid w:val="00E332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E332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E33201"/>
    <w:rPr>
      <w:sz w:val="20"/>
      <w:szCs w:val="20"/>
    </w:rPr>
  </w:style>
  <w:style w:type="character" w:styleId="Odwoanieprzypisudolnego">
    <w:name w:val="footnote reference"/>
    <w:basedOn w:val="Domylnaczcionkaakapitu"/>
    <w:uiPriority w:val="99"/>
    <w:unhideWhenUsed/>
    <w:rsid w:val="00E33201"/>
    <w:rPr>
      <w:vertAlign w:val="superscript"/>
    </w:rPr>
  </w:style>
  <w:style w:type="character" w:styleId="Odwoaniedokomentarza">
    <w:name w:val="annotation reference"/>
    <w:basedOn w:val="Domylnaczcionkaakapitu"/>
    <w:uiPriority w:val="99"/>
    <w:semiHidden/>
    <w:unhideWhenUsed/>
    <w:rsid w:val="006A05F8"/>
    <w:rPr>
      <w:sz w:val="16"/>
      <w:szCs w:val="16"/>
    </w:rPr>
  </w:style>
  <w:style w:type="paragraph" w:styleId="Tekstkomentarza">
    <w:name w:val="annotation text"/>
    <w:basedOn w:val="Normalny"/>
    <w:link w:val="TekstkomentarzaZnak"/>
    <w:uiPriority w:val="99"/>
    <w:semiHidden/>
    <w:unhideWhenUsed/>
    <w:rsid w:val="006A05F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05F8"/>
    <w:rPr>
      <w:sz w:val="20"/>
      <w:szCs w:val="20"/>
    </w:rPr>
  </w:style>
  <w:style w:type="paragraph" w:styleId="Tematkomentarza">
    <w:name w:val="annotation subject"/>
    <w:basedOn w:val="Tekstkomentarza"/>
    <w:next w:val="Tekstkomentarza"/>
    <w:link w:val="TematkomentarzaZnak"/>
    <w:uiPriority w:val="99"/>
    <w:semiHidden/>
    <w:unhideWhenUsed/>
    <w:rsid w:val="006A05F8"/>
    <w:rPr>
      <w:b/>
      <w:bCs/>
    </w:rPr>
  </w:style>
  <w:style w:type="character" w:customStyle="1" w:styleId="TematkomentarzaZnak">
    <w:name w:val="Temat komentarza Znak"/>
    <w:basedOn w:val="TekstkomentarzaZnak"/>
    <w:link w:val="Tematkomentarza"/>
    <w:uiPriority w:val="99"/>
    <w:semiHidden/>
    <w:rsid w:val="006A05F8"/>
    <w:rPr>
      <w:b/>
      <w:bCs/>
      <w:sz w:val="20"/>
      <w:szCs w:val="20"/>
    </w:rPr>
  </w:style>
  <w:style w:type="paragraph" w:styleId="Tekstdymka">
    <w:name w:val="Balloon Text"/>
    <w:basedOn w:val="Normalny"/>
    <w:link w:val="TekstdymkaZnak"/>
    <w:uiPriority w:val="99"/>
    <w:semiHidden/>
    <w:unhideWhenUsed/>
    <w:rsid w:val="006A05F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05F8"/>
    <w:rPr>
      <w:rFonts w:ascii="Segoe UI" w:hAnsi="Segoe UI" w:cs="Segoe UI"/>
      <w:sz w:val="18"/>
      <w:szCs w:val="18"/>
    </w:rPr>
  </w:style>
  <w:style w:type="paragraph" w:styleId="Tekstpodstawowy">
    <w:name w:val="Body Text"/>
    <w:basedOn w:val="Normalny"/>
    <w:link w:val="TekstpodstawowyZnak"/>
    <w:uiPriority w:val="1"/>
    <w:qFormat/>
    <w:rsid w:val="00482A3D"/>
    <w:pPr>
      <w:widowControl w:val="0"/>
      <w:autoSpaceDE w:val="0"/>
      <w:autoSpaceDN w:val="0"/>
      <w:spacing w:after="0" w:line="240" w:lineRule="auto"/>
    </w:pPr>
    <w:rPr>
      <w:rFonts w:ascii="Calibri" w:eastAsia="Calibri" w:hAnsi="Calibri" w:cs="Calibri"/>
      <w:sz w:val="20"/>
      <w:szCs w:val="20"/>
      <w:lang w:val="en-US"/>
    </w:rPr>
  </w:style>
  <w:style w:type="character" w:customStyle="1" w:styleId="TekstpodstawowyZnak">
    <w:name w:val="Tekst podstawowy Znak"/>
    <w:basedOn w:val="Domylnaczcionkaakapitu"/>
    <w:link w:val="Tekstpodstawowy"/>
    <w:uiPriority w:val="1"/>
    <w:rsid w:val="00482A3D"/>
    <w:rPr>
      <w:rFonts w:ascii="Calibri" w:eastAsia="Calibri" w:hAnsi="Calibri" w:cs="Calibri"/>
      <w:sz w:val="20"/>
      <w:szCs w:val="20"/>
      <w:lang w:val="en-US"/>
    </w:rPr>
  </w:style>
  <w:style w:type="character" w:styleId="Hipercze">
    <w:name w:val="Hyperlink"/>
    <w:basedOn w:val="Domylnaczcionkaakapitu"/>
    <w:uiPriority w:val="99"/>
    <w:unhideWhenUsed/>
    <w:rsid w:val="00C35313"/>
    <w:rPr>
      <w:color w:val="0563C1" w:themeColor="hyperlink"/>
      <w:u w:val="single"/>
    </w:rPr>
  </w:style>
  <w:style w:type="character" w:customStyle="1" w:styleId="UnresolvedMention1">
    <w:name w:val="Unresolved Mention1"/>
    <w:basedOn w:val="Domylnaczcionkaakapitu"/>
    <w:uiPriority w:val="99"/>
    <w:semiHidden/>
    <w:unhideWhenUsed/>
    <w:rsid w:val="00C35313"/>
    <w:rPr>
      <w:color w:val="808080"/>
      <w:shd w:val="clear" w:color="auto" w:fill="E6E6E6"/>
    </w:rPr>
  </w:style>
  <w:style w:type="paragraph" w:styleId="Cytat">
    <w:name w:val="Quote"/>
    <w:basedOn w:val="Normalny"/>
    <w:next w:val="Normalny"/>
    <w:link w:val="CytatZnak"/>
    <w:uiPriority w:val="29"/>
    <w:qFormat/>
    <w:rsid w:val="00B17EA9"/>
    <w:pPr>
      <w:spacing w:before="200"/>
      <w:ind w:left="864" w:right="864"/>
      <w:jc w:val="center"/>
    </w:pPr>
    <w:rPr>
      <w:i/>
      <w:iCs/>
      <w:color w:val="404040" w:themeColor="text1" w:themeTint="BF"/>
    </w:rPr>
  </w:style>
  <w:style w:type="character" w:customStyle="1" w:styleId="CytatZnak">
    <w:name w:val="Cytat Znak"/>
    <w:basedOn w:val="Domylnaczcionkaakapitu"/>
    <w:link w:val="Cytat"/>
    <w:uiPriority w:val="29"/>
    <w:rsid w:val="00B17EA9"/>
    <w:rPr>
      <w:i/>
      <w:iCs/>
      <w:color w:val="404040" w:themeColor="text1" w:themeTint="BF"/>
    </w:rPr>
  </w:style>
  <w:style w:type="paragraph" w:styleId="Podtytu">
    <w:name w:val="Subtitle"/>
    <w:basedOn w:val="Normalny"/>
    <w:next w:val="Normalny"/>
    <w:link w:val="PodtytuZnak"/>
    <w:uiPriority w:val="11"/>
    <w:qFormat/>
    <w:rsid w:val="00A676B5"/>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A676B5"/>
    <w:rPr>
      <w:rFonts w:eastAsiaTheme="minorEastAsia"/>
      <w:color w:val="5A5A5A" w:themeColor="text1" w:themeTint="A5"/>
      <w:spacing w:val="15"/>
    </w:rPr>
  </w:style>
  <w:style w:type="paragraph" w:styleId="Nagwekspisutreci">
    <w:name w:val="TOC Heading"/>
    <w:basedOn w:val="Nagwek1"/>
    <w:next w:val="Normalny"/>
    <w:uiPriority w:val="39"/>
    <w:unhideWhenUsed/>
    <w:qFormat/>
    <w:rsid w:val="00431527"/>
    <w:pPr>
      <w:outlineLvl w:val="9"/>
    </w:pPr>
    <w:rPr>
      <w:lang w:val="en-US"/>
    </w:rPr>
  </w:style>
  <w:style w:type="paragraph" w:styleId="Spistreci2">
    <w:name w:val="toc 2"/>
    <w:basedOn w:val="Normalny"/>
    <w:next w:val="Normalny"/>
    <w:autoRedefine/>
    <w:uiPriority w:val="39"/>
    <w:unhideWhenUsed/>
    <w:rsid w:val="00B3055C"/>
    <w:pPr>
      <w:tabs>
        <w:tab w:val="right" w:leader="dot" w:pos="9016"/>
      </w:tabs>
      <w:spacing w:after="100"/>
      <w:ind w:left="220"/>
    </w:pPr>
  </w:style>
  <w:style w:type="paragraph" w:styleId="Spistreci3">
    <w:name w:val="toc 3"/>
    <w:basedOn w:val="Normalny"/>
    <w:next w:val="Normalny"/>
    <w:autoRedefine/>
    <w:uiPriority w:val="39"/>
    <w:unhideWhenUsed/>
    <w:rsid w:val="00431527"/>
    <w:pPr>
      <w:spacing w:after="100"/>
      <w:ind w:left="440"/>
    </w:pPr>
  </w:style>
  <w:style w:type="character" w:customStyle="1" w:styleId="Nagwek4Znak">
    <w:name w:val="Nagłówek 4 Znak"/>
    <w:basedOn w:val="Domylnaczcionkaakapitu"/>
    <w:link w:val="Nagwek4"/>
    <w:uiPriority w:val="9"/>
    <w:rsid w:val="003522A0"/>
    <w:rPr>
      <w:rFonts w:asciiTheme="majorHAnsi" w:eastAsiaTheme="majorEastAsia" w:hAnsiTheme="majorHAnsi" w:cstheme="majorBidi"/>
      <w:i/>
      <w:iCs/>
      <w:color w:val="2F5496" w:themeColor="accent1" w:themeShade="BF"/>
    </w:rPr>
  </w:style>
  <w:style w:type="paragraph" w:styleId="Legenda">
    <w:name w:val="caption"/>
    <w:basedOn w:val="Normalny"/>
    <w:next w:val="Normalny"/>
    <w:uiPriority w:val="35"/>
    <w:unhideWhenUsed/>
    <w:qFormat/>
    <w:rsid w:val="00230E08"/>
    <w:pPr>
      <w:spacing w:after="200" w:line="240" w:lineRule="auto"/>
    </w:pPr>
    <w:rPr>
      <w:i/>
      <w:iCs/>
      <w:color w:val="44546A" w:themeColor="text2"/>
      <w:sz w:val="18"/>
      <w:szCs w:val="18"/>
    </w:rPr>
  </w:style>
  <w:style w:type="character" w:customStyle="1" w:styleId="apple-tab-span">
    <w:name w:val="apple-tab-span"/>
    <w:basedOn w:val="Domylnaczcionkaakapitu"/>
    <w:rsid w:val="00312B3A"/>
  </w:style>
  <w:style w:type="character" w:styleId="Uwydatnienie">
    <w:name w:val="Emphasis"/>
    <w:basedOn w:val="Domylnaczcionkaakapitu"/>
    <w:uiPriority w:val="20"/>
    <w:qFormat/>
    <w:rsid w:val="0077085D"/>
    <w:rPr>
      <w:i/>
      <w:iCs/>
    </w:rPr>
  </w:style>
  <w:style w:type="paragraph" w:customStyle="1" w:styleId="m388855718709900030xmsonormal">
    <w:name w:val="m_388855718709900030x_msonormal"/>
    <w:basedOn w:val="Normalny"/>
    <w:rsid w:val="006717C1"/>
    <w:pPr>
      <w:spacing w:before="100" w:beforeAutospacing="1" w:after="100" w:afterAutospacing="1" w:line="240" w:lineRule="auto"/>
    </w:pPr>
    <w:rPr>
      <w:rFonts w:ascii="Calibri" w:hAnsi="Calibri" w:cs="Times New Roman"/>
      <w:lang w:eastAsia="en-GB"/>
    </w:rPr>
  </w:style>
  <w:style w:type="paragraph" w:customStyle="1" w:styleId="m388855718709900030xmsolistparagraph">
    <w:name w:val="m_388855718709900030x_msolistparagraph"/>
    <w:basedOn w:val="Normalny"/>
    <w:rsid w:val="006717C1"/>
    <w:pPr>
      <w:spacing w:before="100" w:beforeAutospacing="1" w:after="100" w:afterAutospacing="1" w:line="240" w:lineRule="auto"/>
    </w:pPr>
    <w:rPr>
      <w:rFonts w:ascii="Calibri" w:hAnsi="Calibri" w:cs="Times New Roman"/>
      <w:lang w:eastAsia="en-GB"/>
    </w:rPr>
  </w:style>
  <w:style w:type="paragraph" w:customStyle="1" w:styleId="m5639379716884209249msocaption">
    <w:name w:val="m_5639379716884209249msocaption"/>
    <w:basedOn w:val="Normalny"/>
    <w:rsid w:val="00EA7EA0"/>
    <w:pPr>
      <w:spacing w:before="100" w:beforeAutospacing="1" w:after="100" w:afterAutospacing="1" w:line="240" w:lineRule="auto"/>
    </w:pPr>
    <w:rPr>
      <w:rFonts w:ascii="Calibri" w:hAnsi="Calibri" w:cs="Times New Roman"/>
      <w:lang w:eastAsia="en-GB"/>
    </w:rPr>
  </w:style>
  <w:style w:type="paragraph" w:customStyle="1" w:styleId="m5639379716884209249text2">
    <w:name w:val="m_5639379716884209249text2"/>
    <w:basedOn w:val="Normalny"/>
    <w:rsid w:val="00EA7EA0"/>
    <w:pPr>
      <w:spacing w:before="100" w:beforeAutospacing="1" w:after="100" w:afterAutospacing="1" w:line="240" w:lineRule="auto"/>
    </w:pPr>
    <w:rPr>
      <w:rFonts w:ascii="Calibri" w:hAnsi="Calibri" w:cs="Times New Roman"/>
      <w:lang w:eastAsia="en-GB"/>
    </w:rPr>
  </w:style>
  <w:style w:type="character" w:customStyle="1" w:styleId="m5639379716884209249msofootnotereference">
    <w:name w:val="m_5639379716884209249msofootnotereference"/>
    <w:basedOn w:val="Domylnaczcionkaakapitu"/>
    <w:rsid w:val="00EA7EA0"/>
  </w:style>
  <w:style w:type="character" w:styleId="UyteHipercze">
    <w:name w:val="FollowedHyperlink"/>
    <w:basedOn w:val="Domylnaczcionkaakapitu"/>
    <w:uiPriority w:val="99"/>
    <w:semiHidden/>
    <w:unhideWhenUsed/>
    <w:rsid w:val="00A2216D"/>
    <w:rPr>
      <w:color w:val="954F72" w:themeColor="followedHyperlink"/>
      <w:u w:val="single"/>
    </w:rPr>
  </w:style>
  <w:style w:type="paragraph" w:styleId="Nagwek">
    <w:name w:val="header"/>
    <w:basedOn w:val="Normalny"/>
    <w:link w:val="NagwekZnak"/>
    <w:uiPriority w:val="99"/>
    <w:unhideWhenUsed/>
    <w:rsid w:val="00001E8E"/>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C62F94"/>
  </w:style>
  <w:style w:type="paragraph" w:styleId="Stopka">
    <w:name w:val="footer"/>
    <w:basedOn w:val="Normalny"/>
    <w:link w:val="StopkaZnak"/>
    <w:uiPriority w:val="99"/>
    <w:unhideWhenUsed/>
    <w:rsid w:val="00001E8E"/>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C62F94"/>
  </w:style>
  <w:style w:type="paragraph" w:styleId="Poprawka">
    <w:name w:val="Revision"/>
    <w:hidden/>
    <w:uiPriority w:val="99"/>
    <w:semiHidden/>
    <w:rsid w:val="00524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9991">
      <w:bodyDiv w:val="1"/>
      <w:marLeft w:val="0"/>
      <w:marRight w:val="0"/>
      <w:marTop w:val="0"/>
      <w:marBottom w:val="0"/>
      <w:divBdr>
        <w:top w:val="none" w:sz="0" w:space="0" w:color="auto"/>
        <w:left w:val="none" w:sz="0" w:space="0" w:color="auto"/>
        <w:bottom w:val="none" w:sz="0" w:space="0" w:color="auto"/>
        <w:right w:val="none" w:sz="0" w:space="0" w:color="auto"/>
      </w:divBdr>
    </w:div>
    <w:div w:id="71394008">
      <w:bodyDiv w:val="1"/>
      <w:marLeft w:val="0"/>
      <w:marRight w:val="0"/>
      <w:marTop w:val="0"/>
      <w:marBottom w:val="0"/>
      <w:divBdr>
        <w:top w:val="none" w:sz="0" w:space="0" w:color="auto"/>
        <w:left w:val="none" w:sz="0" w:space="0" w:color="auto"/>
        <w:bottom w:val="none" w:sz="0" w:space="0" w:color="auto"/>
        <w:right w:val="none" w:sz="0" w:space="0" w:color="auto"/>
      </w:divBdr>
    </w:div>
    <w:div w:id="122618690">
      <w:bodyDiv w:val="1"/>
      <w:marLeft w:val="0"/>
      <w:marRight w:val="0"/>
      <w:marTop w:val="0"/>
      <w:marBottom w:val="0"/>
      <w:divBdr>
        <w:top w:val="none" w:sz="0" w:space="0" w:color="auto"/>
        <w:left w:val="none" w:sz="0" w:space="0" w:color="auto"/>
        <w:bottom w:val="none" w:sz="0" w:space="0" w:color="auto"/>
        <w:right w:val="none" w:sz="0" w:space="0" w:color="auto"/>
      </w:divBdr>
    </w:div>
    <w:div w:id="124353368">
      <w:bodyDiv w:val="1"/>
      <w:marLeft w:val="0"/>
      <w:marRight w:val="0"/>
      <w:marTop w:val="0"/>
      <w:marBottom w:val="0"/>
      <w:divBdr>
        <w:top w:val="none" w:sz="0" w:space="0" w:color="auto"/>
        <w:left w:val="none" w:sz="0" w:space="0" w:color="auto"/>
        <w:bottom w:val="none" w:sz="0" w:space="0" w:color="auto"/>
        <w:right w:val="none" w:sz="0" w:space="0" w:color="auto"/>
      </w:divBdr>
    </w:div>
    <w:div w:id="138153843">
      <w:bodyDiv w:val="1"/>
      <w:marLeft w:val="0"/>
      <w:marRight w:val="0"/>
      <w:marTop w:val="0"/>
      <w:marBottom w:val="0"/>
      <w:divBdr>
        <w:top w:val="none" w:sz="0" w:space="0" w:color="auto"/>
        <w:left w:val="none" w:sz="0" w:space="0" w:color="auto"/>
        <w:bottom w:val="none" w:sz="0" w:space="0" w:color="auto"/>
        <w:right w:val="none" w:sz="0" w:space="0" w:color="auto"/>
      </w:divBdr>
    </w:div>
    <w:div w:id="170142842">
      <w:bodyDiv w:val="1"/>
      <w:marLeft w:val="0"/>
      <w:marRight w:val="0"/>
      <w:marTop w:val="0"/>
      <w:marBottom w:val="0"/>
      <w:divBdr>
        <w:top w:val="none" w:sz="0" w:space="0" w:color="auto"/>
        <w:left w:val="none" w:sz="0" w:space="0" w:color="auto"/>
        <w:bottom w:val="none" w:sz="0" w:space="0" w:color="auto"/>
        <w:right w:val="none" w:sz="0" w:space="0" w:color="auto"/>
      </w:divBdr>
    </w:div>
    <w:div w:id="384106679">
      <w:bodyDiv w:val="1"/>
      <w:marLeft w:val="0"/>
      <w:marRight w:val="0"/>
      <w:marTop w:val="0"/>
      <w:marBottom w:val="0"/>
      <w:divBdr>
        <w:top w:val="none" w:sz="0" w:space="0" w:color="auto"/>
        <w:left w:val="none" w:sz="0" w:space="0" w:color="auto"/>
        <w:bottom w:val="none" w:sz="0" w:space="0" w:color="auto"/>
        <w:right w:val="none" w:sz="0" w:space="0" w:color="auto"/>
      </w:divBdr>
    </w:div>
    <w:div w:id="404184277">
      <w:bodyDiv w:val="1"/>
      <w:marLeft w:val="0"/>
      <w:marRight w:val="0"/>
      <w:marTop w:val="0"/>
      <w:marBottom w:val="0"/>
      <w:divBdr>
        <w:top w:val="none" w:sz="0" w:space="0" w:color="auto"/>
        <w:left w:val="none" w:sz="0" w:space="0" w:color="auto"/>
        <w:bottom w:val="none" w:sz="0" w:space="0" w:color="auto"/>
        <w:right w:val="none" w:sz="0" w:space="0" w:color="auto"/>
      </w:divBdr>
    </w:div>
    <w:div w:id="458181888">
      <w:bodyDiv w:val="1"/>
      <w:marLeft w:val="0"/>
      <w:marRight w:val="0"/>
      <w:marTop w:val="0"/>
      <w:marBottom w:val="0"/>
      <w:divBdr>
        <w:top w:val="none" w:sz="0" w:space="0" w:color="auto"/>
        <w:left w:val="none" w:sz="0" w:space="0" w:color="auto"/>
        <w:bottom w:val="none" w:sz="0" w:space="0" w:color="auto"/>
        <w:right w:val="none" w:sz="0" w:space="0" w:color="auto"/>
      </w:divBdr>
    </w:div>
    <w:div w:id="540636276">
      <w:bodyDiv w:val="1"/>
      <w:marLeft w:val="0"/>
      <w:marRight w:val="0"/>
      <w:marTop w:val="0"/>
      <w:marBottom w:val="0"/>
      <w:divBdr>
        <w:top w:val="none" w:sz="0" w:space="0" w:color="auto"/>
        <w:left w:val="none" w:sz="0" w:space="0" w:color="auto"/>
        <w:bottom w:val="none" w:sz="0" w:space="0" w:color="auto"/>
        <w:right w:val="none" w:sz="0" w:space="0" w:color="auto"/>
      </w:divBdr>
    </w:div>
    <w:div w:id="541943207">
      <w:bodyDiv w:val="1"/>
      <w:marLeft w:val="0"/>
      <w:marRight w:val="0"/>
      <w:marTop w:val="0"/>
      <w:marBottom w:val="0"/>
      <w:divBdr>
        <w:top w:val="none" w:sz="0" w:space="0" w:color="auto"/>
        <w:left w:val="none" w:sz="0" w:space="0" w:color="auto"/>
        <w:bottom w:val="none" w:sz="0" w:space="0" w:color="auto"/>
        <w:right w:val="none" w:sz="0" w:space="0" w:color="auto"/>
      </w:divBdr>
    </w:div>
    <w:div w:id="579870307">
      <w:bodyDiv w:val="1"/>
      <w:marLeft w:val="0"/>
      <w:marRight w:val="0"/>
      <w:marTop w:val="0"/>
      <w:marBottom w:val="0"/>
      <w:divBdr>
        <w:top w:val="none" w:sz="0" w:space="0" w:color="auto"/>
        <w:left w:val="none" w:sz="0" w:space="0" w:color="auto"/>
        <w:bottom w:val="none" w:sz="0" w:space="0" w:color="auto"/>
        <w:right w:val="none" w:sz="0" w:space="0" w:color="auto"/>
      </w:divBdr>
    </w:div>
    <w:div w:id="629241877">
      <w:bodyDiv w:val="1"/>
      <w:marLeft w:val="0"/>
      <w:marRight w:val="0"/>
      <w:marTop w:val="0"/>
      <w:marBottom w:val="0"/>
      <w:divBdr>
        <w:top w:val="none" w:sz="0" w:space="0" w:color="auto"/>
        <w:left w:val="none" w:sz="0" w:space="0" w:color="auto"/>
        <w:bottom w:val="none" w:sz="0" w:space="0" w:color="auto"/>
        <w:right w:val="none" w:sz="0" w:space="0" w:color="auto"/>
      </w:divBdr>
    </w:div>
    <w:div w:id="652292086">
      <w:bodyDiv w:val="1"/>
      <w:marLeft w:val="0"/>
      <w:marRight w:val="0"/>
      <w:marTop w:val="0"/>
      <w:marBottom w:val="0"/>
      <w:divBdr>
        <w:top w:val="none" w:sz="0" w:space="0" w:color="auto"/>
        <w:left w:val="none" w:sz="0" w:space="0" w:color="auto"/>
        <w:bottom w:val="none" w:sz="0" w:space="0" w:color="auto"/>
        <w:right w:val="none" w:sz="0" w:space="0" w:color="auto"/>
      </w:divBdr>
    </w:div>
    <w:div w:id="684090306">
      <w:bodyDiv w:val="1"/>
      <w:marLeft w:val="0"/>
      <w:marRight w:val="0"/>
      <w:marTop w:val="0"/>
      <w:marBottom w:val="0"/>
      <w:divBdr>
        <w:top w:val="none" w:sz="0" w:space="0" w:color="auto"/>
        <w:left w:val="none" w:sz="0" w:space="0" w:color="auto"/>
        <w:bottom w:val="none" w:sz="0" w:space="0" w:color="auto"/>
        <w:right w:val="none" w:sz="0" w:space="0" w:color="auto"/>
      </w:divBdr>
    </w:div>
    <w:div w:id="792864485">
      <w:bodyDiv w:val="1"/>
      <w:marLeft w:val="0"/>
      <w:marRight w:val="0"/>
      <w:marTop w:val="0"/>
      <w:marBottom w:val="0"/>
      <w:divBdr>
        <w:top w:val="none" w:sz="0" w:space="0" w:color="auto"/>
        <w:left w:val="none" w:sz="0" w:space="0" w:color="auto"/>
        <w:bottom w:val="none" w:sz="0" w:space="0" w:color="auto"/>
        <w:right w:val="none" w:sz="0" w:space="0" w:color="auto"/>
      </w:divBdr>
    </w:div>
    <w:div w:id="868570729">
      <w:bodyDiv w:val="1"/>
      <w:marLeft w:val="0"/>
      <w:marRight w:val="0"/>
      <w:marTop w:val="0"/>
      <w:marBottom w:val="0"/>
      <w:divBdr>
        <w:top w:val="none" w:sz="0" w:space="0" w:color="auto"/>
        <w:left w:val="none" w:sz="0" w:space="0" w:color="auto"/>
        <w:bottom w:val="none" w:sz="0" w:space="0" w:color="auto"/>
        <w:right w:val="none" w:sz="0" w:space="0" w:color="auto"/>
      </w:divBdr>
    </w:div>
    <w:div w:id="899678510">
      <w:bodyDiv w:val="1"/>
      <w:marLeft w:val="0"/>
      <w:marRight w:val="0"/>
      <w:marTop w:val="0"/>
      <w:marBottom w:val="0"/>
      <w:divBdr>
        <w:top w:val="none" w:sz="0" w:space="0" w:color="auto"/>
        <w:left w:val="none" w:sz="0" w:space="0" w:color="auto"/>
        <w:bottom w:val="none" w:sz="0" w:space="0" w:color="auto"/>
        <w:right w:val="none" w:sz="0" w:space="0" w:color="auto"/>
      </w:divBdr>
    </w:div>
    <w:div w:id="949356080">
      <w:bodyDiv w:val="1"/>
      <w:marLeft w:val="0"/>
      <w:marRight w:val="0"/>
      <w:marTop w:val="0"/>
      <w:marBottom w:val="0"/>
      <w:divBdr>
        <w:top w:val="none" w:sz="0" w:space="0" w:color="auto"/>
        <w:left w:val="none" w:sz="0" w:space="0" w:color="auto"/>
        <w:bottom w:val="none" w:sz="0" w:space="0" w:color="auto"/>
        <w:right w:val="none" w:sz="0" w:space="0" w:color="auto"/>
      </w:divBdr>
    </w:div>
    <w:div w:id="1032536932">
      <w:bodyDiv w:val="1"/>
      <w:marLeft w:val="0"/>
      <w:marRight w:val="0"/>
      <w:marTop w:val="0"/>
      <w:marBottom w:val="0"/>
      <w:divBdr>
        <w:top w:val="none" w:sz="0" w:space="0" w:color="auto"/>
        <w:left w:val="none" w:sz="0" w:space="0" w:color="auto"/>
        <w:bottom w:val="none" w:sz="0" w:space="0" w:color="auto"/>
        <w:right w:val="none" w:sz="0" w:space="0" w:color="auto"/>
      </w:divBdr>
    </w:div>
    <w:div w:id="1082526093">
      <w:bodyDiv w:val="1"/>
      <w:marLeft w:val="0"/>
      <w:marRight w:val="0"/>
      <w:marTop w:val="0"/>
      <w:marBottom w:val="0"/>
      <w:divBdr>
        <w:top w:val="none" w:sz="0" w:space="0" w:color="auto"/>
        <w:left w:val="none" w:sz="0" w:space="0" w:color="auto"/>
        <w:bottom w:val="none" w:sz="0" w:space="0" w:color="auto"/>
        <w:right w:val="none" w:sz="0" w:space="0" w:color="auto"/>
      </w:divBdr>
    </w:div>
    <w:div w:id="1083720394">
      <w:bodyDiv w:val="1"/>
      <w:marLeft w:val="0"/>
      <w:marRight w:val="0"/>
      <w:marTop w:val="0"/>
      <w:marBottom w:val="0"/>
      <w:divBdr>
        <w:top w:val="none" w:sz="0" w:space="0" w:color="auto"/>
        <w:left w:val="none" w:sz="0" w:space="0" w:color="auto"/>
        <w:bottom w:val="none" w:sz="0" w:space="0" w:color="auto"/>
        <w:right w:val="none" w:sz="0" w:space="0" w:color="auto"/>
      </w:divBdr>
    </w:div>
    <w:div w:id="1094282692">
      <w:bodyDiv w:val="1"/>
      <w:marLeft w:val="0"/>
      <w:marRight w:val="0"/>
      <w:marTop w:val="0"/>
      <w:marBottom w:val="0"/>
      <w:divBdr>
        <w:top w:val="none" w:sz="0" w:space="0" w:color="auto"/>
        <w:left w:val="none" w:sz="0" w:space="0" w:color="auto"/>
        <w:bottom w:val="none" w:sz="0" w:space="0" w:color="auto"/>
        <w:right w:val="none" w:sz="0" w:space="0" w:color="auto"/>
      </w:divBdr>
    </w:div>
    <w:div w:id="1207066335">
      <w:bodyDiv w:val="1"/>
      <w:marLeft w:val="0"/>
      <w:marRight w:val="0"/>
      <w:marTop w:val="0"/>
      <w:marBottom w:val="0"/>
      <w:divBdr>
        <w:top w:val="none" w:sz="0" w:space="0" w:color="auto"/>
        <w:left w:val="none" w:sz="0" w:space="0" w:color="auto"/>
        <w:bottom w:val="none" w:sz="0" w:space="0" w:color="auto"/>
        <w:right w:val="none" w:sz="0" w:space="0" w:color="auto"/>
      </w:divBdr>
    </w:div>
    <w:div w:id="1336764259">
      <w:bodyDiv w:val="1"/>
      <w:marLeft w:val="0"/>
      <w:marRight w:val="0"/>
      <w:marTop w:val="0"/>
      <w:marBottom w:val="0"/>
      <w:divBdr>
        <w:top w:val="none" w:sz="0" w:space="0" w:color="auto"/>
        <w:left w:val="none" w:sz="0" w:space="0" w:color="auto"/>
        <w:bottom w:val="none" w:sz="0" w:space="0" w:color="auto"/>
        <w:right w:val="none" w:sz="0" w:space="0" w:color="auto"/>
      </w:divBdr>
    </w:div>
    <w:div w:id="1399940047">
      <w:bodyDiv w:val="1"/>
      <w:marLeft w:val="0"/>
      <w:marRight w:val="0"/>
      <w:marTop w:val="0"/>
      <w:marBottom w:val="0"/>
      <w:divBdr>
        <w:top w:val="none" w:sz="0" w:space="0" w:color="auto"/>
        <w:left w:val="none" w:sz="0" w:space="0" w:color="auto"/>
        <w:bottom w:val="none" w:sz="0" w:space="0" w:color="auto"/>
        <w:right w:val="none" w:sz="0" w:space="0" w:color="auto"/>
      </w:divBdr>
    </w:div>
    <w:div w:id="1826388960">
      <w:bodyDiv w:val="1"/>
      <w:marLeft w:val="0"/>
      <w:marRight w:val="0"/>
      <w:marTop w:val="0"/>
      <w:marBottom w:val="0"/>
      <w:divBdr>
        <w:top w:val="none" w:sz="0" w:space="0" w:color="auto"/>
        <w:left w:val="none" w:sz="0" w:space="0" w:color="auto"/>
        <w:bottom w:val="none" w:sz="0" w:space="0" w:color="auto"/>
        <w:right w:val="none" w:sz="0" w:space="0" w:color="auto"/>
      </w:divBdr>
    </w:div>
    <w:div w:id="1885748984">
      <w:bodyDiv w:val="1"/>
      <w:marLeft w:val="0"/>
      <w:marRight w:val="0"/>
      <w:marTop w:val="0"/>
      <w:marBottom w:val="0"/>
      <w:divBdr>
        <w:top w:val="none" w:sz="0" w:space="0" w:color="auto"/>
        <w:left w:val="none" w:sz="0" w:space="0" w:color="auto"/>
        <w:bottom w:val="none" w:sz="0" w:space="0" w:color="auto"/>
        <w:right w:val="none" w:sz="0" w:space="0" w:color="auto"/>
      </w:divBdr>
    </w:div>
    <w:div w:id="1951548115">
      <w:bodyDiv w:val="1"/>
      <w:marLeft w:val="0"/>
      <w:marRight w:val="0"/>
      <w:marTop w:val="0"/>
      <w:marBottom w:val="0"/>
      <w:divBdr>
        <w:top w:val="none" w:sz="0" w:space="0" w:color="auto"/>
        <w:left w:val="none" w:sz="0" w:space="0" w:color="auto"/>
        <w:bottom w:val="none" w:sz="0" w:space="0" w:color="auto"/>
        <w:right w:val="none" w:sz="0" w:space="0" w:color="auto"/>
      </w:divBdr>
    </w:div>
    <w:div w:id="1959338762">
      <w:bodyDiv w:val="1"/>
      <w:marLeft w:val="0"/>
      <w:marRight w:val="0"/>
      <w:marTop w:val="0"/>
      <w:marBottom w:val="0"/>
      <w:divBdr>
        <w:top w:val="none" w:sz="0" w:space="0" w:color="auto"/>
        <w:left w:val="none" w:sz="0" w:space="0" w:color="auto"/>
        <w:bottom w:val="none" w:sz="0" w:space="0" w:color="auto"/>
        <w:right w:val="none" w:sz="0" w:space="0" w:color="auto"/>
      </w:divBdr>
    </w:div>
    <w:div w:id="1993408800">
      <w:bodyDiv w:val="1"/>
      <w:marLeft w:val="0"/>
      <w:marRight w:val="0"/>
      <w:marTop w:val="0"/>
      <w:marBottom w:val="0"/>
      <w:divBdr>
        <w:top w:val="none" w:sz="0" w:space="0" w:color="auto"/>
        <w:left w:val="none" w:sz="0" w:space="0" w:color="auto"/>
        <w:bottom w:val="none" w:sz="0" w:space="0" w:color="auto"/>
        <w:right w:val="none" w:sz="0" w:space="0" w:color="auto"/>
      </w:divBdr>
    </w:div>
    <w:div w:id="2016608703">
      <w:bodyDiv w:val="1"/>
      <w:marLeft w:val="0"/>
      <w:marRight w:val="0"/>
      <w:marTop w:val="0"/>
      <w:marBottom w:val="0"/>
      <w:divBdr>
        <w:top w:val="none" w:sz="0" w:space="0" w:color="auto"/>
        <w:left w:val="none" w:sz="0" w:space="0" w:color="auto"/>
        <w:bottom w:val="none" w:sz="0" w:space="0" w:color="auto"/>
        <w:right w:val="none" w:sz="0" w:space="0" w:color="auto"/>
      </w:divBdr>
    </w:div>
    <w:div w:id="2048673955">
      <w:bodyDiv w:val="1"/>
      <w:marLeft w:val="0"/>
      <w:marRight w:val="0"/>
      <w:marTop w:val="0"/>
      <w:marBottom w:val="0"/>
      <w:divBdr>
        <w:top w:val="none" w:sz="0" w:space="0" w:color="auto"/>
        <w:left w:val="none" w:sz="0" w:space="0" w:color="auto"/>
        <w:bottom w:val="none" w:sz="0" w:space="0" w:color="auto"/>
        <w:right w:val="none" w:sz="0" w:space="0" w:color="auto"/>
      </w:divBdr>
    </w:div>
    <w:div w:id="213093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eur-lex.europa.eu/legal-content/EN/TXT/?uri=CELEX:52011SC028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nergy/en/topics/energy-efficiency/buildings" TargetMode="External"/><Relationship Id="rId2" Type="http://schemas.openxmlformats.org/officeDocument/2006/relationships/hyperlink" Target="https://ec.europa.eu/info/sites/info/files/180131-sustainable-finance-final-report-annex-3_en.pdf" TargetMode="External"/><Relationship Id="rId1" Type="http://schemas.openxmlformats.org/officeDocument/2006/relationships/hyperlink" Target="https://ec.europa.eu/info/sites/info/files/180730-teg-state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C296-C684-42FC-8D01-0712612EC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2D90B-D4DA-4E04-92A4-D8F36B30C072}">
  <ds:schemaRefs>
    <ds:schemaRef ds:uri="http://schemas.microsoft.com/sharepoint/v3/contenttype/forms"/>
  </ds:schemaRefs>
</ds:datastoreItem>
</file>

<file path=customXml/itemProps3.xml><?xml version="1.0" encoding="utf-8"?>
<ds:datastoreItem xmlns:ds="http://schemas.openxmlformats.org/officeDocument/2006/customXml" ds:itemID="{9DCF5F68-1F8B-483B-90CE-C105177B6427}">
  <ds:schemaRefs>
    <ds:schemaRef ds:uri="http://schemas.microsoft.com/office/2006/metadata/properties"/>
    <ds:schemaRef ds:uri="http://schemas.microsoft.com/office/infopath/2007/PartnerControls"/>
    <ds:schemaRef ds:uri="c429c46a-7e15-44c9-a838-73f00aaab325"/>
    <ds:schemaRef ds:uri="http://schemas.microsoft.com/sharepoint/v3/fields"/>
  </ds:schemaRefs>
</ds:datastoreItem>
</file>

<file path=customXml/itemProps4.xml><?xml version="1.0" encoding="utf-8"?>
<ds:datastoreItem xmlns:ds="http://schemas.openxmlformats.org/officeDocument/2006/customXml" ds:itemID="{35338DB5-AAFB-484E-B651-8AB7C47AE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2713</Words>
  <Characters>16282</Characters>
  <Application>Microsoft Office Word</Application>
  <DocSecurity>0</DocSecurity>
  <Lines>135</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Alyssa Heath</dc:creator>
  <cp:lastModifiedBy>Izabela Domzalska</cp:lastModifiedBy>
  <cp:revision>2</cp:revision>
  <cp:lastPrinted>2018-09-25T07:38:00Z</cp:lastPrinted>
  <dcterms:created xsi:type="dcterms:W3CDTF">2018-09-26T10:35:00Z</dcterms:created>
  <dcterms:modified xsi:type="dcterms:W3CDTF">2018-09-26T10:35:00Z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0x010100258AA79CEB83498886A3A0868112325000F370F79735E2304FB3EE3550DB93E366</vt:lpwstr>
  </property>
</Properties>
</file>